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D51AD8" w:rsidP="0022781C">
      <w:pPr>
        <w:spacing w:before="240" w:after="0" w:line="240" w:lineRule="auto"/>
        <w:jc w:val="center"/>
        <w:rPr>
          <w:b/>
          <w:sz w:val="28"/>
          <w:szCs w:val="28"/>
        </w:rPr>
      </w:pPr>
      <w:r>
        <w:rPr>
          <w:b/>
          <w:sz w:val="28"/>
        </w:rPr>
        <w:t>THEA 3410</w:t>
      </w:r>
      <w:r w:rsidR="00515A4E" w:rsidRPr="00FE094D">
        <w:rPr>
          <w:b/>
          <w:sz w:val="28"/>
          <w:szCs w:val="28"/>
        </w:rPr>
        <w:t xml:space="preserve"> </w:t>
      </w:r>
      <w:r w:rsidR="00F3054C" w:rsidRPr="00FE094D">
        <w:rPr>
          <w:b/>
          <w:sz w:val="28"/>
          <w:szCs w:val="28"/>
        </w:rPr>
        <w:t xml:space="preserve">– </w:t>
      </w:r>
      <w:r>
        <w:rPr>
          <w:b/>
          <w:sz w:val="28"/>
          <w:szCs w:val="28"/>
        </w:rPr>
        <w:t>Physical Theatre II</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70099D">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790322516" w:edGrp="everyone"/>
                            <w:permEnd w:id="7903225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790322516" w:edGrp="everyone"/>
                      <w:permEnd w:id="79032251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9941"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BF5F1B" w:rsidRDefault="003A6056" w:rsidP="007D62E0">
      <w:pPr>
        <w:rPr>
          <w:rFonts w:cstheme="minorHAnsi"/>
        </w:rPr>
      </w:pPr>
      <w:r w:rsidRPr="00DA31AF">
        <w:rPr>
          <w:rFonts w:cstheme="minorHAnsi"/>
          <w:i/>
        </w:rPr>
        <w:t>Prerequisites</w:t>
      </w:r>
      <w:r w:rsidRPr="00100DF9">
        <w:rPr>
          <w:rFonts w:cstheme="minorHAnsi"/>
        </w:rPr>
        <w:t xml:space="preserve">: </w:t>
      </w:r>
      <w:r w:rsidR="00BF5F1B">
        <w:rPr>
          <w:rFonts w:cstheme="minorHAnsi"/>
        </w:rPr>
        <w:t xml:space="preserve">THEA </w:t>
      </w:r>
      <w:r w:rsidR="00C45C4D">
        <w:rPr>
          <w:rFonts w:cstheme="minorHAnsi"/>
        </w:rPr>
        <w:t>2</w:t>
      </w:r>
      <w:r w:rsidR="00D51AD8">
        <w:rPr>
          <w:rFonts w:cstheme="minorHAnsi"/>
        </w:rPr>
        <w:t>4</w:t>
      </w:r>
      <w:r w:rsidR="00C45C4D">
        <w:rPr>
          <w:rFonts w:cstheme="minorHAnsi"/>
        </w:rPr>
        <w:t>10</w:t>
      </w:r>
      <w:r w:rsidRPr="00100DF9">
        <w:rPr>
          <w:rFonts w:cstheme="minorHAnsi"/>
        </w:rPr>
        <w:br/>
      </w:r>
      <w:r w:rsidR="00D51AD8" w:rsidRPr="00D51AD8">
        <w:rPr>
          <w:rFonts w:cstheme="minorHAnsi"/>
          <w:color w:val="333333"/>
          <w:lang w:val="en"/>
        </w:rPr>
        <w:t>Explores advanced physical theatre techniques, building on the skills from Physical Theatre I. Topics may include Viewpoints, Alexander Technique, Laban Movement Analysis, and Grotowski Method.</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8EDD77"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2A3BFC">
      <w:pPr>
        <w:pStyle w:val="BalloonText"/>
        <w:kinsoku w:val="0"/>
        <w:overflowPunct w:val="0"/>
        <w:spacing w:line="245" w:lineRule="exact"/>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511EF"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D51AD8" w:rsidRPr="00D51AD8" w:rsidRDefault="00D51AD8" w:rsidP="00D51AD8">
      <w:pPr>
        <w:spacing w:before="100" w:beforeAutospacing="1" w:after="100" w:afterAutospacing="1" w:line="240" w:lineRule="auto"/>
        <w:rPr>
          <w:rFonts w:eastAsia="Times New Roman" w:cstheme="minorHAnsi"/>
          <w:color w:val="333333"/>
          <w:lang w:val="en"/>
        </w:rPr>
      </w:pPr>
      <w:r w:rsidRPr="00D51AD8">
        <w:rPr>
          <w:rFonts w:eastAsia="Times New Roman" w:cstheme="minorHAnsi"/>
          <w:color w:val="333333"/>
          <w:lang w:val="en"/>
        </w:rPr>
        <w:t>National Association of Schools of Theatre [NAST] demands achievement of the highest possible level of performance and expects acting and performance studies to continue throughout the entire degree program. THEA 3410 </w:t>
      </w:r>
      <w:r w:rsidRPr="00D51AD8">
        <w:rPr>
          <w:rFonts w:eastAsia="Times New Roman" w:cstheme="minorHAnsi"/>
          <w:i/>
          <w:iCs/>
          <w:color w:val="333333"/>
          <w:lang w:val="en"/>
        </w:rPr>
        <w:t>Physical Theatre II</w:t>
      </w:r>
      <w:r w:rsidRPr="00D51AD8">
        <w:rPr>
          <w:rFonts w:eastAsia="Times New Roman" w:cstheme="minorHAnsi"/>
          <w:color w:val="333333"/>
          <w:lang w:val="en"/>
        </w:rPr>
        <w:t xml:space="preserve"> builds on techniques introduced in THEA 2410 </w:t>
      </w:r>
      <w:r w:rsidRPr="00D51AD8">
        <w:rPr>
          <w:rFonts w:eastAsia="Times New Roman" w:cstheme="minorHAnsi"/>
          <w:i/>
          <w:iCs/>
          <w:color w:val="333333"/>
          <w:lang w:val="en"/>
        </w:rPr>
        <w:t xml:space="preserve">Physical Theatre I </w:t>
      </w:r>
      <w:r w:rsidRPr="00D51AD8">
        <w:rPr>
          <w:rFonts w:eastAsia="Times New Roman" w:cstheme="minorHAnsi"/>
          <w:color w:val="333333"/>
          <w:lang w:val="en"/>
        </w:rPr>
        <w:t>and introduces advanced Physical Theatre performance theory.</w:t>
      </w:r>
    </w:p>
    <w:p w:rsidR="00D51AD8" w:rsidRPr="00D51AD8" w:rsidRDefault="00D51AD8" w:rsidP="00D51AD8">
      <w:pPr>
        <w:spacing w:before="100" w:beforeAutospacing="1" w:after="100" w:afterAutospacing="1" w:line="240" w:lineRule="auto"/>
        <w:rPr>
          <w:rFonts w:eastAsia="Times New Roman" w:cstheme="minorHAnsi"/>
          <w:color w:val="333333"/>
          <w:lang w:val="en"/>
        </w:rPr>
      </w:pPr>
      <w:r w:rsidRPr="00D51AD8">
        <w:rPr>
          <w:rFonts w:eastAsia="Times New Roman" w:cstheme="minorHAnsi"/>
          <w:color w:val="333333"/>
          <w:lang w:val="en"/>
        </w:rPr>
        <w:t>The goals of THEA 3410 </w:t>
      </w:r>
      <w:r w:rsidRPr="00D51AD8">
        <w:rPr>
          <w:rFonts w:eastAsia="Times New Roman" w:cstheme="minorHAnsi"/>
          <w:i/>
          <w:iCs/>
          <w:color w:val="333333"/>
          <w:lang w:val="en"/>
        </w:rPr>
        <w:t>Physical Theatre II</w:t>
      </w:r>
      <w:r w:rsidRPr="00D51AD8">
        <w:rPr>
          <w:rFonts w:eastAsia="Times New Roman" w:cstheme="minorHAnsi"/>
          <w:color w:val="333333"/>
          <w:lang w:val="en"/>
        </w:rPr>
        <w:t> are to:</w:t>
      </w:r>
    </w:p>
    <w:p w:rsidR="00D51AD8" w:rsidRPr="00D51AD8" w:rsidRDefault="00D51AD8" w:rsidP="00CC7FA7">
      <w:pPr>
        <w:numPr>
          <w:ilvl w:val="0"/>
          <w:numId w:val="3"/>
        </w:numPr>
        <w:spacing w:before="100" w:beforeAutospacing="1" w:after="100" w:afterAutospacing="1" w:line="240" w:lineRule="auto"/>
        <w:ind w:left="1020"/>
        <w:rPr>
          <w:rFonts w:eastAsia="Times New Roman" w:cstheme="minorHAnsi"/>
          <w:color w:val="333333"/>
          <w:lang w:val="en"/>
        </w:rPr>
      </w:pPr>
      <w:r w:rsidRPr="00D51AD8">
        <w:rPr>
          <w:rFonts w:eastAsia="Times New Roman" w:cstheme="minorHAnsi"/>
          <w:color w:val="333333"/>
          <w:lang w:val="en"/>
        </w:rPr>
        <w:t>Promote an understanding of choreographic processes, aesthetic properties of style, and the ways these shape and are shaped by artistic and cultural ideas and contexts,</w:t>
      </w:r>
    </w:p>
    <w:p w:rsidR="00D51AD8" w:rsidRPr="00D51AD8" w:rsidRDefault="00D51AD8" w:rsidP="00CC7FA7">
      <w:pPr>
        <w:numPr>
          <w:ilvl w:val="0"/>
          <w:numId w:val="3"/>
        </w:numPr>
        <w:spacing w:before="100" w:beforeAutospacing="1" w:after="100" w:afterAutospacing="1" w:line="240" w:lineRule="auto"/>
        <w:ind w:left="1020"/>
        <w:rPr>
          <w:rFonts w:eastAsia="Times New Roman" w:cstheme="minorHAnsi"/>
          <w:color w:val="333333"/>
          <w:lang w:val="en"/>
        </w:rPr>
      </w:pPr>
      <w:r w:rsidRPr="00D51AD8">
        <w:rPr>
          <w:rFonts w:eastAsia="Times New Roman" w:cstheme="minorHAnsi"/>
          <w:color w:val="333333"/>
          <w:lang w:val="en"/>
        </w:rPr>
        <w:lastRenderedPageBreak/>
        <w:t>Acquaint students with a wide selection of physical theatre repertory, the principal eras, genres, and cultural sources,</w:t>
      </w:r>
    </w:p>
    <w:p w:rsidR="00D51AD8" w:rsidRPr="00D51AD8" w:rsidRDefault="00D51AD8" w:rsidP="00CC7FA7">
      <w:pPr>
        <w:numPr>
          <w:ilvl w:val="0"/>
          <w:numId w:val="3"/>
        </w:numPr>
        <w:spacing w:before="100" w:beforeAutospacing="1" w:after="100" w:afterAutospacing="1" w:line="240" w:lineRule="auto"/>
        <w:ind w:left="1020"/>
        <w:rPr>
          <w:rFonts w:eastAsia="Times New Roman" w:cstheme="minorHAnsi"/>
          <w:color w:val="333333"/>
          <w:lang w:val="en"/>
        </w:rPr>
      </w:pPr>
      <w:r w:rsidRPr="00D51AD8">
        <w:rPr>
          <w:rFonts w:eastAsia="Times New Roman" w:cstheme="minorHAnsi"/>
          <w:color w:val="333333"/>
          <w:lang w:val="en"/>
        </w:rPr>
        <w:t>Provide training for using the body effectively on stage and to be responsive to changing time/rhythm demands and spatial relationships,</w:t>
      </w:r>
    </w:p>
    <w:p w:rsidR="00D51AD8" w:rsidRPr="00D51AD8" w:rsidRDefault="00D51AD8" w:rsidP="00CC7FA7">
      <w:pPr>
        <w:numPr>
          <w:ilvl w:val="0"/>
          <w:numId w:val="3"/>
        </w:numPr>
        <w:spacing w:before="100" w:beforeAutospacing="1" w:after="100" w:afterAutospacing="1" w:line="240" w:lineRule="auto"/>
        <w:ind w:left="1020"/>
        <w:rPr>
          <w:rFonts w:eastAsia="Times New Roman" w:cstheme="minorHAnsi"/>
          <w:color w:val="333333"/>
          <w:lang w:val="en"/>
        </w:rPr>
      </w:pPr>
      <w:r w:rsidRPr="00D51AD8">
        <w:rPr>
          <w:rFonts w:eastAsia="Times New Roman" w:cstheme="minorHAnsi"/>
          <w:color w:val="333333"/>
          <w:lang w:val="en"/>
        </w:rPr>
        <w:t>Give students the skills to develop effective characters within different play genres and styles using physical means via an ensemble relationship with other actors.</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5AA56"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D51AD8" w:rsidRPr="00D51AD8" w:rsidRDefault="00D51AD8" w:rsidP="00CC7FA7">
            <w:pPr>
              <w:numPr>
                <w:ilvl w:val="0"/>
                <w:numId w:val="1"/>
              </w:numPr>
              <w:tabs>
                <w:tab w:val="left" w:pos="480"/>
              </w:tabs>
              <w:kinsoku w:val="0"/>
              <w:overflowPunct w:val="0"/>
              <w:autoSpaceDE w:val="0"/>
              <w:autoSpaceDN w:val="0"/>
              <w:adjustRightInd w:val="0"/>
              <w:spacing w:after="0" w:line="240" w:lineRule="auto"/>
              <w:rPr>
                <w:rFonts w:cstheme="minorHAnsi"/>
              </w:rPr>
            </w:pPr>
            <w:r w:rsidRPr="00D51AD8">
              <w:rPr>
                <w:rFonts w:cstheme="minorHAnsi"/>
                <w:color w:val="333333"/>
              </w:rPr>
              <w:t>Interpret and perform Laban Movement Analysis, Viewpoints, Alexander Technique, and Grotowski Method terminology and technique.</w:t>
            </w:r>
          </w:p>
          <w:p w:rsidR="00D51AD8" w:rsidRPr="00D51AD8" w:rsidRDefault="00D51AD8" w:rsidP="00CC7FA7">
            <w:pPr>
              <w:numPr>
                <w:ilvl w:val="0"/>
                <w:numId w:val="1"/>
              </w:numPr>
              <w:tabs>
                <w:tab w:val="left" w:pos="480"/>
              </w:tabs>
              <w:kinsoku w:val="0"/>
              <w:overflowPunct w:val="0"/>
              <w:autoSpaceDE w:val="0"/>
              <w:autoSpaceDN w:val="0"/>
              <w:adjustRightInd w:val="0"/>
              <w:spacing w:after="0" w:line="240" w:lineRule="auto"/>
              <w:rPr>
                <w:rFonts w:cstheme="minorHAnsi"/>
              </w:rPr>
            </w:pPr>
            <w:r w:rsidRPr="00D51AD8">
              <w:rPr>
                <w:rFonts w:cstheme="minorHAnsi"/>
                <w:color w:val="333333"/>
              </w:rPr>
              <w:t>Plan and execute the advanced art and craft of physical theatre during performances of improvisations and scenes.</w:t>
            </w:r>
          </w:p>
          <w:p w:rsidR="00D51AD8" w:rsidRPr="00D51AD8" w:rsidRDefault="00D51AD8" w:rsidP="00CC7FA7">
            <w:pPr>
              <w:numPr>
                <w:ilvl w:val="0"/>
                <w:numId w:val="1"/>
              </w:numPr>
              <w:tabs>
                <w:tab w:val="left" w:pos="480"/>
              </w:tabs>
              <w:kinsoku w:val="0"/>
              <w:overflowPunct w:val="0"/>
              <w:autoSpaceDE w:val="0"/>
              <w:autoSpaceDN w:val="0"/>
              <w:adjustRightInd w:val="0"/>
              <w:spacing w:after="0" w:line="240" w:lineRule="auto"/>
              <w:rPr>
                <w:rFonts w:cstheme="minorHAnsi"/>
              </w:rPr>
            </w:pPr>
            <w:r w:rsidRPr="00D51AD8">
              <w:rPr>
                <w:rFonts w:cstheme="minorHAnsi"/>
                <w:color w:val="333333"/>
              </w:rPr>
              <w:t>Develop a lifelong awar</w:t>
            </w:r>
            <w:r w:rsidRPr="00D51AD8">
              <w:rPr>
                <w:rFonts w:cstheme="minorHAnsi"/>
                <w:color w:val="333333"/>
              </w:rPr>
              <w:t>e</w:t>
            </w:r>
            <w:r w:rsidRPr="00D51AD8">
              <w:rPr>
                <w:rFonts w:cstheme="minorHAnsi"/>
                <w:color w:val="333333"/>
              </w:rPr>
              <w:t>ness of significant artists in the field and major theatrical works.</w:t>
            </w:r>
          </w:p>
          <w:p w:rsidR="00D51AD8" w:rsidRPr="00D51AD8" w:rsidRDefault="00D51AD8" w:rsidP="00CC7FA7">
            <w:pPr>
              <w:numPr>
                <w:ilvl w:val="0"/>
                <w:numId w:val="1"/>
              </w:numPr>
              <w:tabs>
                <w:tab w:val="left" w:pos="480"/>
              </w:tabs>
              <w:kinsoku w:val="0"/>
              <w:overflowPunct w:val="0"/>
              <w:autoSpaceDE w:val="0"/>
              <w:autoSpaceDN w:val="0"/>
              <w:adjustRightInd w:val="0"/>
              <w:spacing w:after="0" w:line="240" w:lineRule="auto"/>
              <w:rPr>
                <w:rFonts w:cstheme="minorHAnsi"/>
              </w:rPr>
            </w:pPr>
            <w:r w:rsidRPr="00D51AD8">
              <w:rPr>
                <w:rFonts w:cstheme="minorHAnsi"/>
                <w:color w:val="333333"/>
              </w:rPr>
              <w:t>Organize and implement the processes of creating more advanced physical theatre projects.</w:t>
            </w:r>
          </w:p>
          <w:p w:rsidR="00D51AD8" w:rsidRPr="00D51AD8" w:rsidRDefault="00D51AD8" w:rsidP="00CC7FA7">
            <w:pPr>
              <w:numPr>
                <w:ilvl w:val="0"/>
                <w:numId w:val="1"/>
              </w:numPr>
              <w:tabs>
                <w:tab w:val="left" w:pos="480"/>
              </w:tabs>
              <w:kinsoku w:val="0"/>
              <w:overflowPunct w:val="0"/>
              <w:autoSpaceDE w:val="0"/>
              <w:autoSpaceDN w:val="0"/>
              <w:adjustRightInd w:val="0"/>
              <w:spacing w:after="0" w:line="240" w:lineRule="auto"/>
              <w:rPr>
                <w:rFonts w:cstheme="minorHAnsi"/>
              </w:rPr>
            </w:pPr>
            <w:r w:rsidRPr="00D51AD8">
              <w:rPr>
                <w:rFonts w:cstheme="minorHAnsi"/>
                <w:color w:val="333333"/>
              </w:rPr>
              <w:t>Critically analyze advanced collective creation processes.</w:t>
            </w:r>
          </w:p>
          <w:p w:rsidR="00F32794" w:rsidRDefault="00F32794" w:rsidP="0070099D">
            <w:pPr>
              <w:tabs>
                <w:tab w:val="left" w:pos="480"/>
              </w:tabs>
              <w:kinsoku w:val="0"/>
              <w:overflowPunct w:val="0"/>
              <w:autoSpaceDE w:val="0"/>
              <w:autoSpaceDN w:val="0"/>
              <w:adjustRightInd w:val="0"/>
              <w:spacing w:after="0" w:line="240" w:lineRule="auto"/>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DB6083"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D51AD8" w:rsidRPr="00D51AD8" w:rsidRDefault="00D51AD8" w:rsidP="00CC7FA7">
                  <w:pPr>
                    <w:numPr>
                      <w:ilvl w:val="0"/>
                      <w:numId w:val="2"/>
                    </w:numPr>
                    <w:spacing w:before="100" w:beforeAutospacing="1" w:after="100" w:afterAutospacing="1" w:line="240" w:lineRule="auto"/>
                    <w:rPr>
                      <w:rFonts w:eastAsia="Times New Roman" w:cstheme="minorHAnsi"/>
                      <w:color w:val="333333"/>
                      <w:lang w:val="en"/>
                    </w:rPr>
                  </w:pPr>
                  <w:r w:rsidRPr="00D51AD8">
                    <w:rPr>
                      <w:rFonts w:eastAsia="Times New Roman" w:cstheme="minorHAnsi"/>
                      <w:color w:val="333333"/>
                      <w:lang w:val="en"/>
                    </w:rPr>
                    <w:t>Laban Movement Analysis: Body, Effort, Shape, Space</w:t>
                  </w:r>
                </w:p>
                <w:p w:rsidR="00D51AD8" w:rsidRPr="00D51AD8" w:rsidRDefault="00D51AD8" w:rsidP="00CC7FA7">
                  <w:pPr>
                    <w:numPr>
                      <w:ilvl w:val="0"/>
                      <w:numId w:val="2"/>
                    </w:numPr>
                    <w:spacing w:before="100" w:beforeAutospacing="1" w:after="100" w:afterAutospacing="1" w:line="240" w:lineRule="auto"/>
                    <w:rPr>
                      <w:rFonts w:eastAsia="Times New Roman" w:cstheme="minorHAnsi"/>
                      <w:color w:val="333333"/>
                      <w:lang w:val="en"/>
                    </w:rPr>
                  </w:pPr>
                  <w:r w:rsidRPr="00D51AD8">
                    <w:rPr>
                      <w:rFonts w:eastAsia="Times New Roman" w:cstheme="minorHAnsi"/>
                      <w:color w:val="333333"/>
                      <w:lang w:val="en"/>
                    </w:rPr>
                    <w:t>Viewpoints: Shape, Time, Emotion, Movement, Story</w:t>
                  </w:r>
                </w:p>
                <w:p w:rsidR="00D51AD8" w:rsidRPr="00D51AD8" w:rsidRDefault="00D51AD8" w:rsidP="00CC7FA7">
                  <w:pPr>
                    <w:numPr>
                      <w:ilvl w:val="0"/>
                      <w:numId w:val="2"/>
                    </w:numPr>
                    <w:spacing w:before="100" w:beforeAutospacing="1" w:after="100" w:afterAutospacing="1" w:line="240" w:lineRule="auto"/>
                    <w:rPr>
                      <w:rFonts w:eastAsia="Times New Roman" w:cstheme="minorHAnsi"/>
                      <w:color w:val="333333"/>
                      <w:lang w:val="en"/>
                    </w:rPr>
                  </w:pPr>
                  <w:r w:rsidRPr="00D51AD8">
                    <w:rPr>
                      <w:rFonts w:eastAsia="Times New Roman" w:cstheme="minorHAnsi"/>
                      <w:color w:val="333333"/>
                      <w:lang w:val="en"/>
                    </w:rPr>
                    <w:t>Alexander Technique: Awareness, Inhibition of Automatic Reaction, Direction of Conscious Intention </w:t>
                  </w:r>
                </w:p>
                <w:p w:rsidR="00F32794" w:rsidRPr="00D51AD8" w:rsidRDefault="00D51AD8" w:rsidP="00CC7FA7">
                  <w:pPr>
                    <w:numPr>
                      <w:ilvl w:val="0"/>
                      <w:numId w:val="2"/>
                    </w:numPr>
                    <w:spacing w:before="100" w:beforeAutospacing="1" w:after="100" w:afterAutospacing="1" w:line="240" w:lineRule="auto"/>
                    <w:rPr>
                      <w:rFonts w:ascii="Arial" w:eastAsia="Times New Roman" w:hAnsi="Arial" w:cs="Arial"/>
                      <w:color w:val="333333"/>
                      <w:sz w:val="20"/>
                      <w:szCs w:val="20"/>
                      <w:lang w:val="en"/>
                    </w:rPr>
                  </w:pPr>
                  <w:r w:rsidRPr="00D51AD8">
                    <w:rPr>
                      <w:rFonts w:eastAsia="Times New Roman" w:cstheme="minorHAnsi"/>
                      <w:color w:val="333333"/>
                      <w:lang w:val="en"/>
                    </w:rPr>
                    <w:t>Grotowski Method: Total Act (complete commitment), Art as an Evolution (the process of removing affectation), Courageous Vulnerability</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D49C7A"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D51AD8" w:rsidRPr="00D51AD8" w:rsidRDefault="00D51AD8" w:rsidP="00D51AD8">
            <w:pPr>
              <w:spacing w:before="100" w:beforeAutospacing="1" w:after="100" w:afterAutospacing="1" w:line="240" w:lineRule="auto"/>
              <w:rPr>
                <w:rFonts w:eastAsia="Times New Roman" w:cstheme="minorHAnsi"/>
                <w:color w:val="333333"/>
                <w:lang w:val="en"/>
              </w:rPr>
            </w:pPr>
            <w:r w:rsidRPr="00D51AD8">
              <w:rPr>
                <w:rFonts w:eastAsia="Times New Roman" w:cstheme="minorHAnsi"/>
                <w:color w:val="333333"/>
                <w:lang w:val="en"/>
              </w:rPr>
              <w:t>Attendance will be taken at the start of each class.  If a student is tardy or leaves early twice, that equals one absence.  In addition to attending class, students are expected to take part in the class by actively participating in discussions and performances.  If you do not attend class, you cannot take part in the class!  Your fellow classmates are relying on your attendance so they can do their work; please don’t let them down.</w:t>
            </w:r>
          </w:p>
          <w:p w:rsidR="00BF5F1B" w:rsidRDefault="00D51AD8" w:rsidP="00D51AD8">
            <w:pPr>
              <w:spacing w:before="100" w:beforeAutospacing="1" w:after="100" w:afterAutospacing="1" w:line="240" w:lineRule="auto"/>
              <w:rPr>
                <w:rFonts w:eastAsia="Times New Roman" w:cstheme="minorHAnsi"/>
                <w:color w:val="333333"/>
                <w:lang w:val="en"/>
              </w:rPr>
            </w:pPr>
            <w:r w:rsidRPr="00D51AD8">
              <w:rPr>
                <w:rFonts w:eastAsia="Times New Roman" w:cstheme="minorHAnsi"/>
                <w:color w:val="333333"/>
                <w:lang w:val="en"/>
              </w:rPr>
              <w:t>It is understandable that issues can come up, e.g., a student’s car breaks down on the way to class, or a student has a University sponsored event that conflicts with the class time.  To account for these occasions, students have TWO free absences before it affects their grade.  Since students have TWO free absences, there are NO excused absences after that. Each additional absence will affect your grade by 5 points.  Students who miss more than 20% of class meetings will receive a failing grade for the course.</w:t>
            </w:r>
          </w:p>
          <w:p w:rsidR="00D51AD8" w:rsidRPr="00D51AD8" w:rsidRDefault="00D51AD8" w:rsidP="00D51AD8">
            <w:pPr>
              <w:spacing w:before="100" w:beforeAutospacing="1" w:after="100" w:afterAutospacing="1" w:line="240" w:lineRule="auto"/>
              <w:rPr>
                <w:rFonts w:eastAsia="Times New Roman" w:cstheme="minorHAnsi"/>
                <w:color w:val="333333"/>
                <w:lang w:val="en"/>
              </w:rPr>
            </w:pPr>
            <w:bookmarkStart w:id="0" w:name="_GoBack"/>
            <w:bookmarkEnd w:id="0"/>
          </w:p>
        </w:tc>
      </w:tr>
    </w:tbl>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6AC399"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w:lastRenderedPageBreak/>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910328"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Default="000356D9" w:rsidP="00F05DE2">
      <w:pPr>
        <w:pStyle w:val="BodyText"/>
        <w:kinsoku w:val="0"/>
        <w:overflowPunct w:val="0"/>
        <w:rPr>
          <w:b/>
          <w:bCs/>
          <w:color w:val="FFFFFF"/>
          <w:sz w:val="24"/>
          <w:szCs w:val="24"/>
          <w:shd w:val="clear" w:color="auto" w:fill="000000"/>
        </w:rPr>
      </w:pPr>
    </w:p>
    <w:p w:rsidR="000356D9" w:rsidRDefault="000356D9" w:rsidP="000356D9">
      <w:pPr>
        <w:spacing w:after="0" w:line="240" w:lineRule="auto"/>
        <w:rPr>
          <w:rStyle w:val="Hyperlink"/>
          <w:rFonts w:cstheme="minorHAnsi"/>
          <w:color w:val="auto"/>
          <w:sz w:val="24"/>
          <w:szCs w:val="24"/>
        </w:rPr>
      </w:pPr>
      <w:r w:rsidRPr="000356D9">
        <w:rPr>
          <w:rFonts w:cstheme="minorHAnsi"/>
          <w:b/>
          <w:sz w:val="24"/>
          <w:szCs w:val="24"/>
        </w:rPr>
        <w:t>Syllabus Attachment Information</w:t>
      </w:r>
      <w:r w:rsidRPr="000356D9">
        <w:rPr>
          <w:rFonts w:cstheme="minorHAnsi"/>
          <w:sz w:val="24"/>
          <w:szCs w:val="24"/>
        </w:rPr>
        <w:t>:</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Pr="000356D9">
          <w:rPr>
            <w:rStyle w:val="Hyperlink"/>
            <w:rFonts w:cstheme="minorHAnsi"/>
            <w:color w:val="auto"/>
            <w:sz w:val="24"/>
            <w:szCs w:val="24"/>
          </w:rPr>
          <w:t>https://www.etsu.edu/reg/academics/syllabus.php</w:t>
        </w:r>
      </w:hyperlink>
    </w:p>
    <w:p w:rsidR="000356D9" w:rsidRDefault="000356D9" w:rsidP="000356D9">
      <w:pPr>
        <w:spacing w:after="0" w:line="240" w:lineRule="auto"/>
        <w:rPr>
          <w:rStyle w:val="Hyperlink"/>
          <w:rFonts w:cstheme="minorHAnsi"/>
          <w:color w:val="auto"/>
          <w:sz w:val="24"/>
          <w:szCs w:val="24"/>
        </w:rPr>
      </w:pPr>
    </w:p>
    <w:p w:rsidR="000356D9" w:rsidRPr="000356D9" w:rsidRDefault="000356D9" w:rsidP="000356D9">
      <w:pPr>
        <w:spacing w:after="0" w:line="240" w:lineRule="auto"/>
        <w:rPr>
          <w:rFonts w:cstheme="minorHAnsi"/>
          <w:sz w:val="24"/>
          <w:szCs w:val="24"/>
        </w:rPr>
      </w:pPr>
    </w:p>
    <w:p w:rsidR="000356D9" w:rsidRPr="006B5D9B" w:rsidRDefault="000356D9" w:rsidP="00F05DE2">
      <w:pPr>
        <w:pStyle w:val="BodyText"/>
        <w:kinsoku w:val="0"/>
        <w:overflowPunct w:val="0"/>
        <w:rPr>
          <w:rFonts w:asciiTheme="minorHAnsi" w:hAnsiTheme="minorHAnsi" w:cstheme="minorHAnsi"/>
        </w:rPr>
      </w:pPr>
    </w:p>
    <w:sectPr w:rsidR="000356D9" w:rsidRPr="006B5D9B"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FA7" w:rsidRDefault="00CC7FA7" w:rsidP="00F66C9E">
      <w:pPr>
        <w:spacing w:after="0" w:line="240" w:lineRule="auto"/>
      </w:pPr>
      <w:r>
        <w:separator/>
      </w:r>
    </w:p>
  </w:endnote>
  <w:endnote w:type="continuationSeparator" w:id="0">
    <w:p w:rsidR="00CC7FA7" w:rsidRDefault="00CC7FA7"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D51AD8">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FA7" w:rsidRDefault="00CC7FA7" w:rsidP="00F66C9E">
      <w:pPr>
        <w:spacing w:after="0" w:line="240" w:lineRule="auto"/>
      </w:pPr>
      <w:r>
        <w:separator/>
      </w:r>
    </w:p>
  </w:footnote>
  <w:footnote w:type="continuationSeparator" w:id="0">
    <w:p w:rsidR="00CC7FA7" w:rsidRDefault="00CC7FA7"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E25AFB"/>
    <w:multiLevelType w:val="multilevel"/>
    <w:tmpl w:val="1960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616EB"/>
    <w:multiLevelType w:val="hybridMultilevel"/>
    <w:tmpl w:val="BDA0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DF9"/>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15B20"/>
    <w:rsid w:val="00356969"/>
    <w:rsid w:val="003A6056"/>
    <w:rsid w:val="003D54E6"/>
    <w:rsid w:val="00424B80"/>
    <w:rsid w:val="004C2051"/>
    <w:rsid w:val="004C2DFF"/>
    <w:rsid w:val="004F0510"/>
    <w:rsid w:val="00513F6F"/>
    <w:rsid w:val="00515A4E"/>
    <w:rsid w:val="00554CC0"/>
    <w:rsid w:val="00576D88"/>
    <w:rsid w:val="005B60B1"/>
    <w:rsid w:val="00607361"/>
    <w:rsid w:val="00620C8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C7FA7"/>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6CDE5"/>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reg/academics/syllabu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CF302-1768-45DC-9050-69B54278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2020-06-22T15:00:00Z</dcterms:created>
  <dcterms:modified xsi:type="dcterms:W3CDTF">2020-06-22T15:00:00Z</dcterms:modified>
</cp:coreProperties>
</file>