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70099D" w:rsidP="0022781C">
      <w:pPr>
        <w:spacing w:before="240" w:after="0" w:line="240" w:lineRule="auto"/>
        <w:jc w:val="center"/>
        <w:rPr>
          <w:b/>
          <w:sz w:val="28"/>
          <w:szCs w:val="28"/>
        </w:rPr>
      </w:pPr>
      <w:bookmarkStart w:id="0" w:name="_GoBack"/>
      <w:bookmarkEnd w:id="0"/>
      <w:r>
        <w:rPr>
          <w:b/>
          <w:sz w:val="28"/>
        </w:rPr>
        <w:t>THEA 2410</w:t>
      </w:r>
      <w:r w:rsidR="00515A4E" w:rsidRPr="00FE094D">
        <w:rPr>
          <w:b/>
          <w:sz w:val="28"/>
          <w:szCs w:val="28"/>
        </w:rPr>
        <w:t xml:space="preserve"> </w:t>
      </w:r>
      <w:r w:rsidR="00F3054C" w:rsidRPr="00FE094D">
        <w:rPr>
          <w:b/>
          <w:sz w:val="28"/>
          <w:szCs w:val="28"/>
        </w:rPr>
        <w:t xml:space="preserve">– </w:t>
      </w:r>
      <w:r>
        <w:rPr>
          <w:b/>
          <w:sz w:val="28"/>
          <w:szCs w:val="28"/>
        </w:rPr>
        <w:t xml:space="preserve">Physical </w:t>
      </w:r>
      <w:r w:rsidR="00295A7E">
        <w:rPr>
          <w:b/>
          <w:sz w:val="28"/>
          <w:szCs w:val="28"/>
        </w:rPr>
        <w:t>Theatre</w:t>
      </w:r>
      <w:r>
        <w:rPr>
          <w:b/>
          <w:sz w:val="28"/>
          <w:szCs w:val="28"/>
        </w:rPr>
        <w:t xml:space="preserve"> I</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70099D">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4F015"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3A6056" w:rsidP="007D62E0">
      <w:r w:rsidRPr="00DA31AF">
        <w:rPr>
          <w:rFonts w:cstheme="minorHAnsi"/>
          <w:i/>
        </w:rPr>
        <w:t>Prerequisites</w:t>
      </w:r>
      <w:r w:rsidRPr="00100DF9">
        <w:rPr>
          <w:rFonts w:cstheme="minorHAnsi"/>
        </w:rPr>
        <w:t xml:space="preserve">: </w:t>
      </w:r>
      <w:r w:rsidR="00295A7E">
        <w:rPr>
          <w:rFonts w:cstheme="minorHAnsi"/>
        </w:rPr>
        <w:t>None</w:t>
      </w:r>
      <w:r w:rsidRPr="00100DF9">
        <w:rPr>
          <w:rFonts w:cstheme="minorHAnsi"/>
        </w:rPr>
        <w:br/>
      </w:r>
      <w:proofErr w:type="gramStart"/>
      <w:r w:rsidR="0070099D" w:rsidRPr="0070099D">
        <w:rPr>
          <w:rFonts w:cstheme="minorHAnsi"/>
          <w:color w:val="333333"/>
          <w:lang w:val="en"/>
        </w:rPr>
        <w:t>Introduces</w:t>
      </w:r>
      <w:proofErr w:type="gramEnd"/>
      <w:r w:rsidR="0070099D" w:rsidRPr="0070099D">
        <w:rPr>
          <w:rFonts w:cstheme="minorHAnsi"/>
          <w:color w:val="333333"/>
          <w:lang w:val="en"/>
        </w:rPr>
        <w:t> the many aspects of physical theatre. Topics may include pantomime, clowning, acrobatics, aerial dance, and other methods of storytelling through physical movement</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873EF7"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4B3AC"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tbl>
      <w:tblPr>
        <w:tblW w:w="9360" w:type="dxa"/>
        <w:tblLook w:val="04A0" w:firstRow="1" w:lastRow="0" w:firstColumn="1" w:lastColumn="0" w:noHBand="0" w:noVBand="1"/>
      </w:tblPr>
      <w:tblGrid>
        <w:gridCol w:w="9360"/>
      </w:tblGrid>
      <w:tr w:rsidR="00FE2DFD" w:rsidRPr="0070099D" w:rsidTr="00FE2DFD">
        <w:trPr>
          <w:trHeight w:val="404"/>
        </w:trPr>
        <w:tc>
          <w:tcPr>
            <w:tcW w:w="9360" w:type="dxa"/>
            <w:tcBorders>
              <w:top w:val="nil"/>
              <w:left w:val="nil"/>
              <w:bottom w:val="nil"/>
              <w:right w:val="nil"/>
            </w:tcBorders>
            <w:shd w:val="clear" w:color="auto" w:fill="auto"/>
            <w:noWrap/>
            <w:hideMark/>
          </w:tcPr>
          <w:p w:rsidR="00EB6DCD" w:rsidRPr="0070099D" w:rsidRDefault="00EB6DCD" w:rsidP="00295A7E">
            <w:pPr>
              <w:kinsoku w:val="0"/>
              <w:overflowPunct w:val="0"/>
              <w:autoSpaceDE w:val="0"/>
              <w:autoSpaceDN w:val="0"/>
              <w:adjustRightInd w:val="0"/>
              <w:spacing w:after="0" w:line="240" w:lineRule="auto"/>
              <w:ind w:right="525"/>
              <w:jc w:val="both"/>
              <w:rPr>
                <w:rFonts w:cstheme="minorHAnsi"/>
              </w:rPr>
            </w:pPr>
          </w:p>
          <w:p w:rsidR="0070099D" w:rsidRPr="0070099D" w:rsidRDefault="0070099D" w:rsidP="0070099D">
            <w:pPr>
              <w:spacing w:after="0" w:line="240" w:lineRule="auto"/>
              <w:rPr>
                <w:rFonts w:eastAsia="Times New Roman" w:cstheme="minorHAnsi"/>
                <w:color w:val="333333"/>
                <w:lang w:val="en"/>
              </w:rPr>
            </w:pPr>
            <w:r w:rsidRPr="0070099D">
              <w:rPr>
                <w:rFonts w:eastAsia="Times New Roman" w:cstheme="minorHAnsi"/>
                <w:color w:val="333333"/>
                <w:lang w:val="en"/>
              </w:rPr>
              <w:t>THEA 2410 </w:t>
            </w:r>
            <w:r w:rsidRPr="0070099D">
              <w:rPr>
                <w:rFonts w:eastAsia="Times New Roman" w:cstheme="minorHAnsi"/>
                <w:i/>
                <w:iCs/>
                <w:color w:val="333333"/>
                <w:lang w:val="en"/>
              </w:rPr>
              <w:t>Physical Theatre I</w:t>
            </w:r>
            <w:r w:rsidRPr="0070099D">
              <w:rPr>
                <w:rFonts w:eastAsia="Times New Roman" w:cstheme="minorHAnsi"/>
                <w:color w:val="333333"/>
                <w:lang w:val="en"/>
              </w:rPr>
              <w:t> is a required foundation course in the Physical Theatre concentration that introduces concepts of movement style and technique for the physical actor. THEA 2410 </w:t>
            </w:r>
            <w:r w:rsidRPr="0070099D">
              <w:rPr>
                <w:rFonts w:eastAsia="Times New Roman" w:cstheme="minorHAnsi"/>
                <w:i/>
                <w:iCs/>
                <w:color w:val="333333"/>
                <w:lang w:val="en"/>
              </w:rPr>
              <w:t>Physical Theatre I</w:t>
            </w:r>
            <w:r w:rsidRPr="0070099D">
              <w:rPr>
                <w:rFonts w:eastAsia="Times New Roman" w:cstheme="minorHAnsi"/>
                <w:color w:val="333333"/>
                <w:lang w:val="en"/>
              </w:rPr>
              <w:t xml:space="preserve"> prepares students for more advanced Physical Theatre performance courses and fulfills a National Association of Schools of Theatre [NAST] Competency for the Bachelor of Arts in Theatre – </w:t>
            </w:r>
            <w:r w:rsidRPr="0070099D">
              <w:rPr>
                <w:rFonts w:eastAsia="Times New Roman" w:cstheme="minorHAnsi"/>
                <w:i/>
                <w:iCs/>
                <w:color w:val="333333"/>
                <w:lang w:val="en"/>
              </w:rPr>
              <w:t>demonstrated ability to use the body effectively on stage as an instrument for characterization and to be responsive to changing time/rhythm demands and spatial relationships</w:t>
            </w:r>
            <w:r w:rsidRPr="0070099D">
              <w:rPr>
                <w:rFonts w:eastAsia="Times New Roman" w:cstheme="minorHAnsi"/>
                <w:color w:val="333333"/>
                <w:lang w:val="en"/>
              </w:rPr>
              <w:t>.</w:t>
            </w:r>
          </w:p>
          <w:p w:rsidR="0070099D" w:rsidRPr="0070099D" w:rsidRDefault="0070099D" w:rsidP="0070099D">
            <w:p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The goals of THEA 2410 </w:t>
            </w:r>
            <w:r w:rsidRPr="0070099D">
              <w:rPr>
                <w:rFonts w:eastAsia="Times New Roman" w:cstheme="minorHAnsi"/>
                <w:i/>
                <w:iCs/>
                <w:color w:val="333333"/>
                <w:lang w:val="en"/>
              </w:rPr>
              <w:t>Physical Theatre I</w:t>
            </w:r>
            <w:r w:rsidRPr="0070099D">
              <w:rPr>
                <w:rFonts w:eastAsia="Times New Roman" w:cstheme="minorHAnsi"/>
                <w:color w:val="333333"/>
                <w:lang w:val="en"/>
              </w:rPr>
              <w:t> are to:</w:t>
            </w:r>
          </w:p>
          <w:p w:rsidR="0070099D" w:rsidRPr="0070099D" w:rsidRDefault="0070099D" w:rsidP="0070099D">
            <w:pPr>
              <w:numPr>
                <w:ilvl w:val="0"/>
                <w:numId w:val="45"/>
              </w:num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lastRenderedPageBreak/>
              <w:t>Ensure students develop flexible, relaxed, and controlled bodies trained in basic stage movement disciplines, including dance and mime,</w:t>
            </w:r>
          </w:p>
          <w:p w:rsidR="0070099D" w:rsidRPr="0070099D" w:rsidRDefault="0070099D" w:rsidP="0070099D">
            <w:pPr>
              <w:numPr>
                <w:ilvl w:val="0"/>
                <w:numId w:val="45"/>
              </w:num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Establish training methods to use the body effectively on stage as an instrument for characterization,</w:t>
            </w:r>
          </w:p>
          <w:p w:rsidR="0070099D" w:rsidRPr="0070099D" w:rsidRDefault="0070099D" w:rsidP="0070099D">
            <w:pPr>
              <w:numPr>
                <w:ilvl w:val="0"/>
                <w:numId w:val="45"/>
              </w:num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Provide opportunities to learn the specific demands of physical acting styles for major periods and genres of dramatic presentations,</w:t>
            </w:r>
          </w:p>
          <w:p w:rsidR="007D62E0" w:rsidRPr="0070099D" w:rsidRDefault="0070099D" w:rsidP="0070099D">
            <w:pPr>
              <w:numPr>
                <w:ilvl w:val="0"/>
                <w:numId w:val="45"/>
              </w:num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Engage audiences effectively in both student solo and ensemble improvisations.</w:t>
            </w:r>
          </w:p>
        </w:tc>
      </w:tr>
    </w:tbl>
    <w:p w:rsidR="00EB6DCD" w:rsidRPr="0070099D" w:rsidRDefault="00EB6DCD" w:rsidP="00295A7E">
      <w:pPr>
        <w:spacing w:after="0" w:line="240" w:lineRule="auto"/>
        <w:rPr>
          <w:rFonts w:cstheme="minorHAnsi"/>
          <w:b/>
          <w:noProof/>
        </w:rPr>
      </w:pP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5756B"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2A3BFC" w:rsidRPr="0070099D" w:rsidRDefault="0070099D" w:rsidP="002A3BFC">
            <w:pPr>
              <w:numPr>
                <w:ilvl w:val="0"/>
                <w:numId w:val="42"/>
              </w:numPr>
              <w:tabs>
                <w:tab w:val="left" w:pos="480"/>
              </w:tabs>
              <w:kinsoku w:val="0"/>
              <w:overflowPunct w:val="0"/>
              <w:autoSpaceDE w:val="0"/>
              <w:autoSpaceDN w:val="0"/>
              <w:adjustRightInd w:val="0"/>
              <w:spacing w:after="0" w:line="240" w:lineRule="auto"/>
              <w:rPr>
                <w:rFonts w:cstheme="minorHAnsi"/>
              </w:rPr>
            </w:pPr>
            <w:proofErr w:type="gramStart"/>
            <w:r w:rsidRPr="0070099D">
              <w:rPr>
                <w:rFonts w:cstheme="minorHAnsi"/>
                <w:color w:val="333333"/>
              </w:rPr>
              <w:t>execute</w:t>
            </w:r>
            <w:proofErr w:type="gramEnd"/>
            <w:r w:rsidRPr="0070099D">
              <w:rPr>
                <w:rFonts w:cstheme="minorHAnsi"/>
                <w:color w:val="333333"/>
              </w:rPr>
              <w:t xml:space="preserve"> basic acrobatic and aerial dance movements and positions</w:t>
            </w:r>
            <w:r w:rsidR="00295A7E" w:rsidRPr="0070099D">
              <w:rPr>
                <w:rFonts w:cstheme="minorHAnsi"/>
                <w:color w:val="333333"/>
              </w:rPr>
              <w:t>.</w:t>
            </w:r>
          </w:p>
          <w:p w:rsidR="0070099D" w:rsidRPr="0070099D" w:rsidRDefault="0070099D" w:rsidP="002A3BFC">
            <w:pPr>
              <w:numPr>
                <w:ilvl w:val="0"/>
                <w:numId w:val="42"/>
              </w:numPr>
              <w:tabs>
                <w:tab w:val="left" w:pos="480"/>
              </w:tabs>
              <w:kinsoku w:val="0"/>
              <w:overflowPunct w:val="0"/>
              <w:autoSpaceDE w:val="0"/>
              <w:autoSpaceDN w:val="0"/>
              <w:adjustRightInd w:val="0"/>
              <w:spacing w:after="0" w:line="240" w:lineRule="auto"/>
              <w:rPr>
                <w:rFonts w:cstheme="minorHAnsi"/>
              </w:rPr>
            </w:pPr>
            <w:r w:rsidRPr="0070099D">
              <w:rPr>
                <w:rFonts w:cstheme="minorHAnsi"/>
                <w:color w:val="333333"/>
              </w:rPr>
              <w:t>demonstrate the art and craft of physical theatre during performances of improvisations</w:t>
            </w:r>
          </w:p>
          <w:p w:rsidR="0070099D" w:rsidRPr="0070099D" w:rsidRDefault="0070099D" w:rsidP="002A3BFC">
            <w:pPr>
              <w:numPr>
                <w:ilvl w:val="0"/>
                <w:numId w:val="42"/>
              </w:numPr>
              <w:tabs>
                <w:tab w:val="left" w:pos="480"/>
              </w:tabs>
              <w:kinsoku w:val="0"/>
              <w:overflowPunct w:val="0"/>
              <w:autoSpaceDE w:val="0"/>
              <w:autoSpaceDN w:val="0"/>
              <w:adjustRightInd w:val="0"/>
              <w:spacing w:after="0" w:line="240" w:lineRule="auto"/>
              <w:rPr>
                <w:rFonts w:cstheme="minorHAnsi"/>
              </w:rPr>
            </w:pPr>
            <w:r w:rsidRPr="0070099D">
              <w:rPr>
                <w:rFonts w:cstheme="minorHAnsi"/>
                <w:color w:val="333333"/>
              </w:rPr>
              <w:t>converse effectively about significant artists in the field and major theatrical works</w:t>
            </w:r>
          </w:p>
          <w:p w:rsidR="0070099D" w:rsidRPr="0070099D" w:rsidRDefault="0070099D" w:rsidP="002A3BFC">
            <w:pPr>
              <w:numPr>
                <w:ilvl w:val="0"/>
                <w:numId w:val="42"/>
              </w:numPr>
              <w:tabs>
                <w:tab w:val="left" w:pos="480"/>
              </w:tabs>
              <w:kinsoku w:val="0"/>
              <w:overflowPunct w:val="0"/>
              <w:autoSpaceDE w:val="0"/>
              <w:autoSpaceDN w:val="0"/>
              <w:adjustRightInd w:val="0"/>
              <w:spacing w:after="0" w:line="240" w:lineRule="auto"/>
              <w:rPr>
                <w:rFonts w:cstheme="minorHAnsi"/>
              </w:rPr>
            </w:pPr>
            <w:r w:rsidRPr="0070099D">
              <w:rPr>
                <w:rFonts w:cstheme="minorHAnsi"/>
                <w:color w:val="333333"/>
              </w:rPr>
              <w:t>work cooperatively with fellow performers in rehearsals and performances</w:t>
            </w:r>
          </w:p>
          <w:p w:rsidR="0070099D" w:rsidRPr="0070099D" w:rsidRDefault="0070099D" w:rsidP="002A3BFC">
            <w:pPr>
              <w:numPr>
                <w:ilvl w:val="0"/>
                <w:numId w:val="42"/>
              </w:numPr>
              <w:tabs>
                <w:tab w:val="left" w:pos="480"/>
              </w:tabs>
              <w:kinsoku w:val="0"/>
              <w:overflowPunct w:val="0"/>
              <w:autoSpaceDE w:val="0"/>
              <w:autoSpaceDN w:val="0"/>
              <w:adjustRightInd w:val="0"/>
              <w:spacing w:after="0" w:line="240" w:lineRule="auto"/>
              <w:rPr>
                <w:rFonts w:cstheme="minorHAnsi"/>
              </w:rPr>
            </w:pPr>
            <w:r w:rsidRPr="0070099D">
              <w:rPr>
                <w:rFonts w:cstheme="minorHAnsi"/>
                <w:color w:val="333333"/>
              </w:rPr>
              <w:t>know and practice standard physical theatre terminology and techniques</w:t>
            </w:r>
          </w:p>
          <w:p w:rsidR="0070099D" w:rsidRPr="0070099D" w:rsidRDefault="0070099D" w:rsidP="002A3BFC">
            <w:pPr>
              <w:numPr>
                <w:ilvl w:val="0"/>
                <w:numId w:val="42"/>
              </w:numPr>
              <w:tabs>
                <w:tab w:val="left" w:pos="480"/>
              </w:tabs>
              <w:kinsoku w:val="0"/>
              <w:overflowPunct w:val="0"/>
              <w:autoSpaceDE w:val="0"/>
              <w:autoSpaceDN w:val="0"/>
              <w:adjustRightInd w:val="0"/>
              <w:spacing w:after="0" w:line="240" w:lineRule="auto"/>
              <w:rPr>
                <w:rFonts w:cstheme="minorHAnsi"/>
              </w:rPr>
            </w:pPr>
            <w:r w:rsidRPr="0070099D">
              <w:rPr>
                <w:rFonts w:cstheme="minorHAnsi"/>
                <w:color w:val="333333"/>
              </w:rPr>
              <w:t>observe and be able to critically analyze and write about physical theatre</w:t>
            </w:r>
          </w:p>
          <w:p w:rsidR="00F32794" w:rsidRDefault="00F32794" w:rsidP="0070099D">
            <w:pPr>
              <w:tabs>
                <w:tab w:val="left" w:pos="480"/>
              </w:tabs>
              <w:kinsoku w:val="0"/>
              <w:overflowPunct w:val="0"/>
              <w:autoSpaceDE w:val="0"/>
              <w:autoSpaceDN w:val="0"/>
              <w:adjustRightInd w:val="0"/>
              <w:spacing w:after="0" w:line="240" w:lineRule="auto"/>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A32C1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70099D" w:rsidRPr="0070099D" w:rsidRDefault="0070099D" w:rsidP="0070099D">
                  <w:pPr>
                    <w:numPr>
                      <w:ilvl w:val="0"/>
                      <w:numId w:val="46"/>
                    </w:num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 xml:space="preserve">Art of Clowning: Clowning 101, Commedia </w:t>
                  </w:r>
                  <w:proofErr w:type="spellStart"/>
                  <w:r w:rsidRPr="0070099D">
                    <w:rPr>
                      <w:rFonts w:eastAsia="Times New Roman" w:cstheme="minorHAnsi"/>
                      <w:color w:val="333333"/>
                      <w:lang w:val="en"/>
                    </w:rPr>
                    <w:t>Dell'Arte</w:t>
                  </w:r>
                  <w:proofErr w:type="spellEnd"/>
                  <w:r w:rsidRPr="0070099D">
                    <w:rPr>
                      <w:rFonts w:eastAsia="Times New Roman" w:cstheme="minorHAnsi"/>
                      <w:color w:val="333333"/>
                      <w:lang w:val="en"/>
                    </w:rPr>
                    <w:t xml:space="preserve">, and the </w:t>
                  </w:r>
                  <w:proofErr w:type="spellStart"/>
                  <w:r w:rsidRPr="0070099D">
                    <w:rPr>
                      <w:rFonts w:eastAsia="Times New Roman" w:cstheme="minorHAnsi"/>
                      <w:color w:val="333333"/>
                      <w:lang w:val="en"/>
                    </w:rPr>
                    <w:t>Lecoq</w:t>
                  </w:r>
                  <w:proofErr w:type="spellEnd"/>
                  <w:r w:rsidRPr="0070099D">
                    <w:rPr>
                      <w:rFonts w:eastAsia="Times New Roman" w:cstheme="minorHAnsi"/>
                      <w:color w:val="333333"/>
                      <w:lang w:val="en"/>
                    </w:rPr>
                    <w:t xml:space="preserve"> approach.</w:t>
                  </w:r>
                </w:p>
                <w:p w:rsidR="0070099D" w:rsidRPr="0070099D" w:rsidRDefault="0070099D" w:rsidP="0070099D">
                  <w:pPr>
                    <w:numPr>
                      <w:ilvl w:val="0"/>
                      <w:numId w:val="46"/>
                    </w:num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Acrobatics: Tumbling (hollow body hold, handstands, cartwheels, somersaults, contortion), Using acrobatics to aide in storytelling.</w:t>
                  </w:r>
                </w:p>
                <w:p w:rsidR="0070099D" w:rsidRPr="0070099D" w:rsidRDefault="0070099D" w:rsidP="0070099D">
                  <w:pPr>
                    <w:numPr>
                      <w:ilvl w:val="0"/>
                      <w:numId w:val="46"/>
                    </w:num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 xml:space="preserve">Aerial </w:t>
                  </w:r>
                  <w:proofErr w:type="spellStart"/>
                  <w:r w:rsidRPr="0070099D">
                    <w:rPr>
                      <w:rFonts w:eastAsia="Times New Roman" w:cstheme="minorHAnsi"/>
                      <w:color w:val="333333"/>
                      <w:lang w:val="en"/>
                    </w:rPr>
                    <w:t>Dance</w:t>
                  </w:r>
                  <w:proofErr w:type="gramStart"/>
                  <w:r w:rsidRPr="0070099D">
                    <w:rPr>
                      <w:rFonts w:eastAsia="Times New Roman" w:cstheme="minorHAnsi"/>
                      <w:color w:val="333333"/>
                      <w:lang w:val="en"/>
                    </w:rPr>
                    <w:t>:Technique</w:t>
                  </w:r>
                  <w:proofErr w:type="spellEnd"/>
                  <w:proofErr w:type="gramEnd"/>
                  <w:r w:rsidRPr="0070099D">
                    <w:rPr>
                      <w:rFonts w:eastAsia="Times New Roman" w:cstheme="minorHAnsi"/>
                      <w:color w:val="333333"/>
                      <w:lang w:val="en"/>
                    </w:rPr>
                    <w:t xml:space="preserve"> (safety, climbing, "locking-in" the apparatus), Identifying when the story moves to the vertical plane, Developing character through Aerial movement..</w:t>
                  </w:r>
                </w:p>
                <w:p w:rsidR="00F32794" w:rsidRPr="0070099D" w:rsidRDefault="0070099D" w:rsidP="0070099D">
                  <w:pPr>
                    <w:numPr>
                      <w:ilvl w:val="0"/>
                      <w:numId w:val="46"/>
                    </w:numPr>
                    <w:spacing w:before="100" w:beforeAutospacing="1" w:after="100" w:afterAutospacing="1" w:line="240" w:lineRule="auto"/>
                    <w:rPr>
                      <w:rFonts w:ascii="Arial" w:eastAsia="Times New Roman" w:hAnsi="Arial" w:cs="Arial"/>
                      <w:color w:val="333333"/>
                      <w:sz w:val="20"/>
                      <w:szCs w:val="20"/>
                      <w:lang w:val="en"/>
                    </w:rPr>
                  </w:pPr>
                  <w:r w:rsidRPr="0070099D">
                    <w:rPr>
                      <w:rFonts w:eastAsia="Times New Roman" w:cstheme="minorHAnsi"/>
                      <w:color w:val="333333"/>
                      <w:lang w:val="en"/>
                    </w:rPr>
                    <w:t>Mime: Nonverbal communication (body only tells the story), Cultivating specificity in movement</w:t>
                  </w:r>
                  <w:r w:rsidRPr="0070099D">
                    <w:rPr>
                      <w:rFonts w:ascii="Arial" w:eastAsia="Times New Roman" w:hAnsi="Arial" w:cs="Arial"/>
                      <w:color w:val="333333"/>
                      <w:sz w:val="20"/>
                      <w:szCs w:val="20"/>
                      <w:lang w:val="en"/>
                    </w:rPr>
                    <w:t>.</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523D97"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70099D" w:rsidRPr="0070099D" w:rsidRDefault="0070099D" w:rsidP="0070099D">
            <w:p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Attendance will be taken at the start of each class.  If a student is tardy or leaves early twice, that equals one absence.  In addition to attending class, students are expected to take part in the class by actively participating in discussions and performances.  If you do not attend class, you cannot take part in the class!  Your fellow classmates are relying on your attendance so they can do their work; please don’t let them down.</w:t>
            </w:r>
          </w:p>
          <w:p w:rsidR="00E371C2" w:rsidRDefault="0070099D" w:rsidP="0070099D">
            <w:pPr>
              <w:spacing w:before="100" w:beforeAutospacing="1" w:after="100" w:afterAutospacing="1" w:line="240" w:lineRule="auto"/>
              <w:rPr>
                <w:rFonts w:eastAsia="Times New Roman" w:cstheme="minorHAnsi"/>
                <w:color w:val="333333"/>
                <w:lang w:val="en"/>
              </w:rPr>
            </w:pPr>
            <w:r w:rsidRPr="0070099D">
              <w:rPr>
                <w:rFonts w:eastAsia="Times New Roman" w:cstheme="minorHAnsi"/>
                <w:color w:val="333333"/>
                <w:lang w:val="en"/>
              </w:rPr>
              <w:t>It is understandable that issues can come up, e.g., a student’s car breaks down on the way to class, or a student has a University sponsored event that conflicts with the class time.  To account for these occasions, students have TWO free absences before it affects their grade.  Since students have TWO free absences, there are NO excused absences after that. Each additional absence will affect your grade by 5 points.  Students who miss more than 20% of class meetings will receive a failing grade for the course.</w:t>
            </w:r>
          </w:p>
          <w:p w:rsidR="0070099D" w:rsidRPr="0070099D" w:rsidRDefault="0070099D" w:rsidP="0070099D">
            <w:pPr>
              <w:spacing w:before="100" w:beforeAutospacing="1" w:after="100" w:afterAutospacing="1" w:line="240" w:lineRule="auto"/>
              <w:rPr>
                <w:rFonts w:eastAsia="Times New Roman" w:cstheme="minorHAnsi"/>
                <w:color w:val="333333"/>
                <w:lang w:val="en"/>
              </w:rPr>
            </w:pPr>
          </w:p>
        </w:tc>
      </w:tr>
    </w:tbl>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B588E"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77A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Default="000356D9" w:rsidP="00F05DE2">
      <w:pPr>
        <w:pStyle w:val="BodyText"/>
        <w:kinsoku w:val="0"/>
        <w:overflowPunct w:val="0"/>
        <w:rPr>
          <w:b/>
          <w:bCs/>
          <w:color w:val="FFFFFF"/>
          <w:sz w:val="24"/>
          <w:szCs w:val="24"/>
          <w:shd w:val="clear" w:color="auto" w:fill="000000"/>
        </w:rPr>
      </w:pPr>
    </w:p>
    <w:p w:rsidR="000356D9" w:rsidRDefault="000356D9" w:rsidP="000356D9">
      <w:pPr>
        <w:spacing w:after="0" w:line="240" w:lineRule="auto"/>
        <w:rPr>
          <w:rStyle w:val="Hyperlink"/>
          <w:rFonts w:cstheme="minorHAnsi"/>
          <w:color w:val="auto"/>
          <w:sz w:val="24"/>
          <w:szCs w:val="24"/>
        </w:rPr>
      </w:pPr>
      <w:r w:rsidRPr="000356D9">
        <w:rPr>
          <w:rFonts w:cstheme="minorHAnsi"/>
          <w:b/>
          <w:sz w:val="24"/>
          <w:szCs w:val="24"/>
        </w:rPr>
        <w:t>Syllabus Attachment Information</w:t>
      </w:r>
      <w:r w:rsidRPr="000356D9">
        <w:rPr>
          <w:rFonts w:cstheme="minorHAnsi"/>
          <w:sz w:val="24"/>
          <w:szCs w:val="24"/>
        </w:rPr>
        <w:t>:</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Pr="000356D9">
          <w:rPr>
            <w:rStyle w:val="Hyperlink"/>
            <w:rFonts w:cstheme="minorHAnsi"/>
            <w:color w:val="auto"/>
            <w:sz w:val="24"/>
            <w:szCs w:val="24"/>
          </w:rPr>
          <w:t>https://www.etsu.edu/reg/academics/syllabus.php</w:t>
        </w:r>
      </w:hyperlink>
    </w:p>
    <w:p w:rsidR="000356D9" w:rsidRDefault="000356D9" w:rsidP="000356D9">
      <w:pPr>
        <w:spacing w:after="0" w:line="240" w:lineRule="auto"/>
        <w:rPr>
          <w:rStyle w:val="Hyperlink"/>
          <w:rFonts w:cstheme="minorHAnsi"/>
          <w:color w:val="auto"/>
          <w:sz w:val="24"/>
          <w:szCs w:val="24"/>
        </w:rPr>
      </w:pPr>
    </w:p>
    <w:p w:rsidR="000356D9" w:rsidRPr="000356D9" w:rsidRDefault="000356D9" w:rsidP="000356D9">
      <w:pPr>
        <w:spacing w:after="0" w:line="240" w:lineRule="auto"/>
        <w:rPr>
          <w:rFonts w:cstheme="minorHAnsi"/>
          <w:sz w:val="24"/>
          <w:szCs w:val="24"/>
        </w:rPr>
      </w:pPr>
    </w:p>
    <w:p w:rsidR="000356D9" w:rsidRPr="006B5D9B" w:rsidRDefault="000356D9" w:rsidP="00F05DE2">
      <w:pPr>
        <w:pStyle w:val="BodyText"/>
        <w:kinsoku w:val="0"/>
        <w:overflowPunct w:val="0"/>
        <w:rPr>
          <w:rFonts w:asciiTheme="minorHAnsi" w:hAnsiTheme="minorHAnsi" w:cstheme="minorHAnsi"/>
        </w:rPr>
      </w:pPr>
    </w:p>
    <w:sectPr w:rsidR="000356D9" w:rsidRPr="006B5D9B"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11" w:rsidRDefault="001E5111" w:rsidP="00F66C9E">
      <w:pPr>
        <w:spacing w:after="0" w:line="240" w:lineRule="auto"/>
      </w:pPr>
      <w:r>
        <w:separator/>
      </w:r>
    </w:p>
  </w:endnote>
  <w:endnote w:type="continuationSeparator" w:id="0">
    <w:p w:rsidR="001E5111" w:rsidRDefault="001E5111"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70099D">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11" w:rsidRDefault="001E5111" w:rsidP="00F66C9E">
      <w:pPr>
        <w:spacing w:after="0" w:line="240" w:lineRule="auto"/>
      </w:pPr>
      <w:r>
        <w:separator/>
      </w:r>
    </w:p>
  </w:footnote>
  <w:footnote w:type="continuationSeparator" w:id="0">
    <w:p w:rsidR="001E5111" w:rsidRDefault="001E5111"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79" w:hanging="360"/>
      </w:pPr>
      <w:rPr>
        <w:rFonts w:ascii="Symbol" w:hAnsi="Symbol" w:cs="Symbol"/>
        <w:b w:val="0"/>
        <w:bCs w:val="0"/>
        <w:w w:val="99"/>
        <w:sz w:val="22"/>
        <w:szCs w:val="22"/>
      </w:rPr>
    </w:lvl>
    <w:lvl w:ilvl="1">
      <w:numFmt w:val="bullet"/>
      <w:lvlText w:val="•"/>
      <w:lvlJc w:val="left"/>
      <w:pPr>
        <w:ind w:left="1482" w:hanging="360"/>
      </w:pPr>
    </w:lvl>
    <w:lvl w:ilvl="2">
      <w:numFmt w:val="bullet"/>
      <w:lvlText w:val="•"/>
      <w:lvlJc w:val="left"/>
      <w:pPr>
        <w:ind w:left="2485" w:hanging="360"/>
      </w:pPr>
    </w:lvl>
    <w:lvl w:ilvl="3">
      <w:numFmt w:val="bullet"/>
      <w:lvlText w:val="•"/>
      <w:lvlJc w:val="left"/>
      <w:pPr>
        <w:ind w:left="3487" w:hanging="360"/>
      </w:pPr>
    </w:lvl>
    <w:lvl w:ilvl="4">
      <w:numFmt w:val="bullet"/>
      <w:lvlText w:val="•"/>
      <w:lvlJc w:val="left"/>
      <w:pPr>
        <w:ind w:left="4490" w:hanging="360"/>
      </w:pPr>
    </w:lvl>
    <w:lvl w:ilvl="5">
      <w:numFmt w:val="bullet"/>
      <w:lvlText w:val="•"/>
      <w:lvlJc w:val="left"/>
      <w:pPr>
        <w:ind w:left="5492" w:hanging="360"/>
      </w:pPr>
    </w:lvl>
    <w:lvl w:ilvl="6">
      <w:numFmt w:val="bullet"/>
      <w:lvlText w:val="•"/>
      <w:lvlJc w:val="left"/>
      <w:pPr>
        <w:ind w:left="6495" w:hanging="360"/>
      </w:pPr>
    </w:lvl>
    <w:lvl w:ilvl="7">
      <w:numFmt w:val="bullet"/>
      <w:lvlText w:val="•"/>
      <w:lvlJc w:val="left"/>
      <w:pPr>
        <w:ind w:left="7497" w:hanging="360"/>
      </w:pPr>
    </w:lvl>
    <w:lvl w:ilvl="8">
      <w:numFmt w:val="bullet"/>
      <w:lvlText w:val="•"/>
      <w:lvlJc w:val="left"/>
      <w:pPr>
        <w:ind w:left="8500" w:hanging="360"/>
      </w:pPr>
    </w:lvl>
  </w:abstractNum>
  <w:abstractNum w:abstractNumId="1" w15:restartNumberingAfterBreak="0">
    <w:nsid w:val="00A6193B"/>
    <w:multiLevelType w:val="hybridMultilevel"/>
    <w:tmpl w:val="2B4A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8162A"/>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0B9D3EB4"/>
    <w:multiLevelType w:val="hybridMultilevel"/>
    <w:tmpl w:val="0DF4A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82FC6"/>
    <w:multiLevelType w:val="hybridMultilevel"/>
    <w:tmpl w:val="FBAE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B05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5C71851"/>
    <w:multiLevelType w:val="multilevel"/>
    <w:tmpl w:val="29225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92E1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6715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D863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FE7A5F"/>
    <w:multiLevelType w:val="hybridMultilevel"/>
    <w:tmpl w:val="A2A0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E3899"/>
    <w:multiLevelType w:val="multilevel"/>
    <w:tmpl w:val="152C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F1D6F"/>
    <w:multiLevelType w:val="hybridMultilevel"/>
    <w:tmpl w:val="634CD7A6"/>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3" w15:restartNumberingAfterBreak="0">
    <w:nsid w:val="23BE741B"/>
    <w:multiLevelType w:val="multilevel"/>
    <w:tmpl w:val="F5405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956B87"/>
    <w:multiLevelType w:val="hybridMultilevel"/>
    <w:tmpl w:val="9C4C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F67F1"/>
    <w:multiLevelType w:val="hybridMultilevel"/>
    <w:tmpl w:val="AAE6D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27C4E"/>
    <w:multiLevelType w:val="hybridMultilevel"/>
    <w:tmpl w:val="4F388138"/>
    <w:lvl w:ilvl="0" w:tplc="CE5C1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8E74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3657778"/>
    <w:multiLevelType w:val="multilevel"/>
    <w:tmpl w:val="374A6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F425F"/>
    <w:multiLevelType w:val="hybridMultilevel"/>
    <w:tmpl w:val="0824C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9423B"/>
    <w:multiLevelType w:val="multilevel"/>
    <w:tmpl w:val="1C56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731D7"/>
    <w:multiLevelType w:val="hybridMultilevel"/>
    <w:tmpl w:val="34ECA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956AA"/>
    <w:multiLevelType w:val="multilevel"/>
    <w:tmpl w:val="F71A2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CA53BC"/>
    <w:multiLevelType w:val="multilevel"/>
    <w:tmpl w:val="3C4A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97166"/>
    <w:multiLevelType w:val="hybridMultilevel"/>
    <w:tmpl w:val="93EC5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68147D"/>
    <w:multiLevelType w:val="hybridMultilevel"/>
    <w:tmpl w:val="E8FE0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9377E"/>
    <w:multiLevelType w:val="multilevel"/>
    <w:tmpl w:val="339A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F063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31F0153"/>
    <w:multiLevelType w:val="multilevel"/>
    <w:tmpl w:val="EA2C5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B05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A763D2D"/>
    <w:multiLevelType w:val="multilevel"/>
    <w:tmpl w:val="2C5E7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F1429"/>
    <w:multiLevelType w:val="multilevel"/>
    <w:tmpl w:val="3818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2412D"/>
    <w:multiLevelType w:val="multilevel"/>
    <w:tmpl w:val="1EC86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55C82"/>
    <w:multiLevelType w:val="multilevel"/>
    <w:tmpl w:val="7382E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F3EA3"/>
    <w:multiLevelType w:val="hybridMultilevel"/>
    <w:tmpl w:val="816E01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50518"/>
    <w:multiLevelType w:val="hybridMultilevel"/>
    <w:tmpl w:val="277286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C85141"/>
    <w:multiLevelType w:val="multilevel"/>
    <w:tmpl w:val="6C100F3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35915B7"/>
    <w:multiLevelType w:val="hybridMultilevel"/>
    <w:tmpl w:val="711E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7572A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F9D368F"/>
    <w:multiLevelType w:val="multilevel"/>
    <w:tmpl w:val="AC9C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616EB"/>
    <w:multiLevelType w:val="hybridMultilevel"/>
    <w:tmpl w:val="BDA0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148D5"/>
    <w:multiLevelType w:val="multilevel"/>
    <w:tmpl w:val="C84A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8283E"/>
    <w:multiLevelType w:val="multilevel"/>
    <w:tmpl w:val="20C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955669"/>
    <w:multiLevelType w:val="multilevel"/>
    <w:tmpl w:val="1B9C8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F4559"/>
    <w:multiLevelType w:val="hybridMultilevel"/>
    <w:tmpl w:val="422273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7042370"/>
    <w:multiLevelType w:val="hybridMultilevel"/>
    <w:tmpl w:val="6FFEE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D90174"/>
    <w:multiLevelType w:val="multilevel"/>
    <w:tmpl w:val="C5E2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E31450"/>
    <w:multiLevelType w:val="multilevel"/>
    <w:tmpl w:val="06485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6"/>
  </w:num>
  <w:num w:numId="3">
    <w:abstractNumId w:val="37"/>
  </w:num>
  <w:num w:numId="4">
    <w:abstractNumId w:val="41"/>
  </w:num>
  <w:num w:numId="5">
    <w:abstractNumId w:val="42"/>
  </w:num>
  <w:num w:numId="6">
    <w:abstractNumId w:val="1"/>
  </w:num>
  <w:num w:numId="7">
    <w:abstractNumId w:val="21"/>
  </w:num>
  <w:num w:numId="8">
    <w:abstractNumId w:val="4"/>
  </w:num>
  <w:num w:numId="9">
    <w:abstractNumId w:val="34"/>
  </w:num>
  <w:num w:numId="10">
    <w:abstractNumId w:val="2"/>
  </w:num>
  <w:num w:numId="11">
    <w:abstractNumId w:val="9"/>
  </w:num>
  <w:num w:numId="12">
    <w:abstractNumId w:val="29"/>
  </w:num>
  <w:num w:numId="13">
    <w:abstractNumId w:val="36"/>
  </w:num>
  <w:num w:numId="14">
    <w:abstractNumId w:val="14"/>
  </w:num>
  <w:num w:numId="15">
    <w:abstractNumId w:val="15"/>
  </w:num>
  <w:num w:numId="16">
    <w:abstractNumId w:val="38"/>
  </w:num>
  <w:num w:numId="17">
    <w:abstractNumId w:val="27"/>
  </w:num>
  <w:num w:numId="18">
    <w:abstractNumId w:val="7"/>
  </w:num>
  <w:num w:numId="19">
    <w:abstractNumId w:val="5"/>
  </w:num>
  <w:num w:numId="20">
    <w:abstractNumId w:val="17"/>
  </w:num>
  <w:num w:numId="21">
    <w:abstractNumId w:val="8"/>
  </w:num>
  <w:num w:numId="22">
    <w:abstractNumId w:val="10"/>
  </w:num>
  <w:num w:numId="23">
    <w:abstractNumId w:val="3"/>
  </w:num>
  <w:num w:numId="24">
    <w:abstractNumId w:val="24"/>
  </w:num>
  <w:num w:numId="25">
    <w:abstractNumId w:val="25"/>
  </w:num>
  <w:num w:numId="26">
    <w:abstractNumId w:val="13"/>
  </w:num>
  <w:num w:numId="27">
    <w:abstractNumId w:val="45"/>
  </w:num>
  <w:num w:numId="28">
    <w:abstractNumId w:val="44"/>
  </w:num>
  <w:num w:numId="29">
    <w:abstractNumId w:val="43"/>
  </w:num>
  <w:num w:numId="30">
    <w:abstractNumId w:val="22"/>
  </w:num>
  <w:num w:numId="31">
    <w:abstractNumId w:val="33"/>
  </w:num>
  <w:num w:numId="32">
    <w:abstractNumId w:val="47"/>
  </w:num>
  <w:num w:numId="33">
    <w:abstractNumId w:val="18"/>
  </w:num>
  <w:num w:numId="34">
    <w:abstractNumId w:val="28"/>
  </w:num>
  <w:num w:numId="35">
    <w:abstractNumId w:val="30"/>
  </w:num>
  <w:num w:numId="36">
    <w:abstractNumId w:val="26"/>
  </w:num>
  <w:num w:numId="37">
    <w:abstractNumId w:val="11"/>
  </w:num>
  <w:num w:numId="38">
    <w:abstractNumId w:val="32"/>
  </w:num>
  <w:num w:numId="39">
    <w:abstractNumId w:val="46"/>
  </w:num>
  <w:num w:numId="40">
    <w:abstractNumId w:val="6"/>
  </w:num>
  <w:num w:numId="41">
    <w:abstractNumId w:val="0"/>
  </w:num>
  <w:num w:numId="42">
    <w:abstractNumId w:val="40"/>
  </w:num>
  <w:num w:numId="43">
    <w:abstractNumId w:val="19"/>
  </w:num>
  <w:num w:numId="44">
    <w:abstractNumId w:val="12"/>
  </w:num>
  <w:num w:numId="45">
    <w:abstractNumId w:val="23"/>
  </w:num>
  <w:num w:numId="46">
    <w:abstractNumId w:val="31"/>
  </w:num>
  <w:num w:numId="47">
    <w:abstractNumId w:val="3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DF9"/>
    <w:rsid w:val="00162B27"/>
    <w:rsid w:val="00163B0E"/>
    <w:rsid w:val="00183D8B"/>
    <w:rsid w:val="001A34E6"/>
    <w:rsid w:val="001D7FE3"/>
    <w:rsid w:val="001E5111"/>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15B20"/>
    <w:rsid w:val="00356969"/>
    <w:rsid w:val="003A6056"/>
    <w:rsid w:val="003D54E6"/>
    <w:rsid w:val="00424B80"/>
    <w:rsid w:val="004C2051"/>
    <w:rsid w:val="004C2DFF"/>
    <w:rsid w:val="004F0510"/>
    <w:rsid w:val="00513F6F"/>
    <w:rsid w:val="00515A4E"/>
    <w:rsid w:val="00554CC0"/>
    <w:rsid w:val="00576D88"/>
    <w:rsid w:val="005B60B1"/>
    <w:rsid w:val="00607361"/>
    <w:rsid w:val="00620C8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5AEB"/>
    <w:rsid w:val="00B17C35"/>
    <w:rsid w:val="00B55909"/>
    <w:rsid w:val="00BB27D8"/>
    <w:rsid w:val="00BD4D27"/>
    <w:rsid w:val="00BD4FCD"/>
    <w:rsid w:val="00BE1153"/>
    <w:rsid w:val="00C06B92"/>
    <w:rsid w:val="00C30F50"/>
    <w:rsid w:val="00C4094C"/>
    <w:rsid w:val="00C654AF"/>
    <w:rsid w:val="00C66CBA"/>
    <w:rsid w:val="00CB5249"/>
    <w:rsid w:val="00CB65EA"/>
    <w:rsid w:val="00CC1B0D"/>
    <w:rsid w:val="00CE4F60"/>
    <w:rsid w:val="00D25BF6"/>
    <w:rsid w:val="00D34439"/>
    <w:rsid w:val="00D40B6F"/>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6CDE5"/>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reg/academics/syllabu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4F85-C5FC-42A8-9FE7-BCE7C3EE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3</cp:revision>
  <cp:lastPrinted>2020-03-06T20:51:00Z</cp:lastPrinted>
  <dcterms:created xsi:type="dcterms:W3CDTF">2020-06-22T13:22:00Z</dcterms:created>
  <dcterms:modified xsi:type="dcterms:W3CDTF">2020-06-22T13:29:00Z</dcterms:modified>
</cp:coreProperties>
</file>