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9"/>
        <w:ind w:left="342" w:right="339"/>
        <w:jc w:val="center"/>
      </w:pPr>
      <w:r>
        <w:rPr>
          <w:color w:val="231F20"/>
          <w:spacing w:val="-2"/>
        </w:rPr>
        <w:t>ABSTRACT</w:t>
      </w:r>
    </w:p>
    <w:p>
      <w:pPr>
        <w:pStyle w:val="BodyText"/>
      </w:pPr>
    </w:p>
    <w:p>
      <w:pPr>
        <w:pStyle w:val="BodyText"/>
        <w:spacing w:line="480" w:lineRule="auto"/>
        <w:ind w:left="340" w:right="339"/>
        <w:jc w:val="center"/>
      </w:pPr>
      <w:r>
        <w:rPr>
          <w:color w:val="231F20"/>
        </w:rPr>
        <w:t>A</w:t>
      </w:r>
      <w:r>
        <w:rPr>
          <w:color w:val="231F20"/>
          <w:spacing w:val="-4"/>
        </w:rPr>
        <w:t> </w:t>
      </w:r>
      <w:r>
        <w:rPr>
          <w:color w:val="231F20"/>
        </w:rPr>
        <w:t>Qualitative</w:t>
      </w:r>
      <w:r>
        <w:rPr>
          <w:color w:val="231F20"/>
          <w:spacing w:val="-4"/>
        </w:rPr>
        <w:t> </w:t>
      </w:r>
      <w:r>
        <w:rPr>
          <w:color w:val="231F20"/>
        </w:rPr>
        <w:t>Study</w:t>
      </w:r>
      <w:r>
        <w:rPr>
          <w:color w:val="231F20"/>
          <w:spacing w:val="-4"/>
        </w:rPr>
        <w:t> </w:t>
      </w:r>
      <w:r>
        <w:rPr>
          <w:color w:val="231F20"/>
        </w:rPr>
        <w:t>Using</w:t>
      </w:r>
      <w:r>
        <w:rPr>
          <w:color w:val="231F20"/>
          <w:spacing w:val="-4"/>
        </w:rPr>
        <w:t> </w:t>
      </w:r>
      <w:r>
        <w:rPr>
          <w:color w:val="231F20"/>
        </w:rPr>
        <w:t>Thematic</w:t>
      </w:r>
      <w:r>
        <w:rPr>
          <w:color w:val="231F20"/>
          <w:spacing w:val="-4"/>
        </w:rPr>
        <w:t> </w:t>
      </w:r>
      <w:r>
        <w:rPr>
          <w:color w:val="231F20"/>
        </w:rPr>
        <w:t>Analysis</w:t>
      </w:r>
      <w:r>
        <w:rPr>
          <w:color w:val="231F20"/>
          <w:spacing w:val="-4"/>
        </w:rPr>
        <w:t> </w:t>
      </w:r>
      <w:r>
        <w:rPr>
          <w:color w:val="231F20"/>
        </w:rPr>
        <w:t>to</w:t>
      </w:r>
      <w:r>
        <w:rPr>
          <w:color w:val="231F20"/>
          <w:spacing w:val="-4"/>
        </w:rPr>
        <w:t> </w:t>
      </w:r>
      <w:r>
        <w:rPr>
          <w:color w:val="231F20"/>
        </w:rPr>
        <w:t>Explore</w:t>
      </w:r>
      <w:r>
        <w:rPr>
          <w:color w:val="231F20"/>
          <w:spacing w:val="-4"/>
        </w:rPr>
        <w:t> </w:t>
      </w:r>
      <w:r>
        <w:rPr>
          <w:color w:val="231F20"/>
        </w:rPr>
        <w:t>Medical</w:t>
      </w:r>
      <w:r>
        <w:rPr>
          <w:color w:val="231F20"/>
          <w:spacing w:val="-3"/>
        </w:rPr>
        <w:t> </w:t>
      </w:r>
      <w:r>
        <w:rPr>
          <w:color w:val="231F20"/>
        </w:rPr>
        <w:t>Education</w:t>
      </w:r>
      <w:r>
        <w:rPr>
          <w:color w:val="231F20"/>
          <w:spacing w:val="-4"/>
        </w:rPr>
        <w:t> </w:t>
      </w:r>
      <w:r>
        <w:rPr>
          <w:color w:val="231F20"/>
        </w:rPr>
        <w:t>post-</w:t>
      </w:r>
      <w:r>
        <w:rPr>
          <w:i/>
          <w:color w:val="231F20"/>
        </w:rPr>
        <w:t>Dobbs</w:t>
      </w:r>
      <w:r>
        <w:rPr>
          <w:i/>
          <w:color w:val="231F20"/>
        </w:rPr>
        <w:t> </w:t>
      </w:r>
      <w:r>
        <w:rPr>
          <w:color w:val="231F20"/>
          <w:spacing w:val="-6"/>
        </w:rPr>
        <w:t>by</w:t>
      </w:r>
    </w:p>
    <w:p>
      <w:pPr>
        <w:pStyle w:val="BodyText"/>
        <w:ind w:left="340" w:right="343"/>
        <w:jc w:val="center"/>
      </w:pPr>
      <w:r>
        <w:rPr>
          <w:color w:val="231F20"/>
        </w:rPr>
        <w:t>Aneida</w:t>
      </w:r>
      <w:r>
        <w:rPr>
          <w:color w:val="231F20"/>
          <w:spacing w:val="-5"/>
        </w:rPr>
        <w:t> </w:t>
      </w:r>
      <w:r>
        <w:rPr>
          <w:color w:val="231F20"/>
          <w:spacing w:val="-2"/>
        </w:rPr>
        <w:t>Skeens</w:t>
      </w:r>
    </w:p>
    <w:p>
      <w:pPr>
        <w:pStyle w:val="BodyText"/>
      </w:pPr>
    </w:p>
    <w:p>
      <w:pPr>
        <w:spacing w:line="480" w:lineRule="auto" w:before="0"/>
        <w:ind w:left="0" w:right="0" w:firstLine="0"/>
        <w:jc w:val="left"/>
        <w:rPr>
          <w:i/>
          <w:sz w:val="24"/>
        </w:rPr>
      </w:pPr>
      <w:r>
        <w:rPr>
          <w:color w:val="58595B"/>
          <w:sz w:val="24"/>
        </w:rPr>
        <w:t>In June of 2022, the United States Supreme Court issued a decision in the case of </w:t>
      </w:r>
      <w:r>
        <w:rPr>
          <w:i/>
          <w:color w:val="58595B"/>
          <w:sz w:val="24"/>
        </w:rPr>
        <w:t>Dobbs v.</w:t>
      </w:r>
      <w:r>
        <w:rPr>
          <w:i/>
          <w:color w:val="58595B"/>
          <w:sz w:val="24"/>
        </w:rPr>
        <w:t> Jackson</w:t>
      </w:r>
      <w:r>
        <w:rPr>
          <w:i/>
          <w:color w:val="58595B"/>
          <w:spacing w:val="-4"/>
          <w:sz w:val="24"/>
        </w:rPr>
        <w:t> </w:t>
      </w:r>
      <w:r>
        <w:rPr>
          <w:i/>
          <w:color w:val="58595B"/>
          <w:sz w:val="24"/>
        </w:rPr>
        <w:t>Women’s</w:t>
      </w:r>
      <w:r>
        <w:rPr>
          <w:i/>
          <w:color w:val="58595B"/>
          <w:spacing w:val="-4"/>
          <w:sz w:val="24"/>
        </w:rPr>
        <w:t> </w:t>
      </w:r>
      <w:r>
        <w:rPr>
          <w:i/>
          <w:color w:val="58595B"/>
          <w:sz w:val="24"/>
        </w:rPr>
        <w:t>Health</w:t>
      </w:r>
      <w:r>
        <w:rPr>
          <w:i/>
          <w:color w:val="58595B"/>
          <w:spacing w:val="-4"/>
          <w:sz w:val="24"/>
        </w:rPr>
        <w:t> </w:t>
      </w:r>
      <w:r>
        <w:rPr>
          <w:i/>
          <w:color w:val="58595B"/>
          <w:sz w:val="24"/>
        </w:rPr>
        <w:t>Organization</w:t>
      </w:r>
      <w:r>
        <w:rPr>
          <w:color w:val="58595B"/>
          <w:sz w:val="24"/>
        </w:rPr>
        <w:t>,</w:t>
      </w:r>
      <w:r>
        <w:rPr>
          <w:color w:val="58595B"/>
          <w:spacing w:val="-4"/>
          <w:sz w:val="24"/>
        </w:rPr>
        <w:t> </w:t>
      </w:r>
      <w:r>
        <w:rPr>
          <w:color w:val="58595B"/>
          <w:sz w:val="24"/>
        </w:rPr>
        <w:t>challenging</w:t>
      </w:r>
      <w:r>
        <w:rPr>
          <w:color w:val="58595B"/>
          <w:spacing w:val="-4"/>
          <w:sz w:val="24"/>
        </w:rPr>
        <w:t> </w:t>
      </w:r>
      <w:r>
        <w:rPr>
          <w:color w:val="58595B"/>
          <w:sz w:val="24"/>
        </w:rPr>
        <w:t>the</w:t>
      </w:r>
      <w:r>
        <w:rPr>
          <w:color w:val="58595B"/>
          <w:spacing w:val="-4"/>
          <w:sz w:val="24"/>
        </w:rPr>
        <w:t> </w:t>
      </w:r>
      <w:r>
        <w:rPr>
          <w:color w:val="58595B"/>
          <w:sz w:val="24"/>
        </w:rPr>
        <w:t>validity</w:t>
      </w:r>
      <w:r>
        <w:rPr>
          <w:color w:val="58595B"/>
          <w:spacing w:val="-4"/>
          <w:sz w:val="24"/>
        </w:rPr>
        <w:t> </w:t>
      </w:r>
      <w:r>
        <w:rPr>
          <w:color w:val="58595B"/>
          <w:sz w:val="24"/>
        </w:rPr>
        <w:t>of</w:t>
      </w:r>
      <w:r>
        <w:rPr>
          <w:color w:val="58595B"/>
          <w:spacing w:val="-2"/>
          <w:sz w:val="24"/>
        </w:rPr>
        <w:t> </w:t>
      </w:r>
      <w:r>
        <w:rPr>
          <w:color w:val="58595B"/>
          <w:sz w:val="24"/>
        </w:rPr>
        <w:t>the</w:t>
      </w:r>
      <w:r>
        <w:rPr>
          <w:color w:val="58595B"/>
          <w:spacing w:val="-4"/>
          <w:sz w:val="24"/>
        </w:rPr>
        <w:t> </w:t>
      </w:r>
      <w:r>
        <w:rPr>
          <w:color w:val="58595B"/>
          <w:sz w:val="24"/>
        </w:rPr>
        <w:t>historical</w:t>
      </w:r>
      <w:r>
        <w:rPr>
          <w:color w:val="58595B"/>
          <w:spacing w:val="-4"/>
          <w:sz w:val="24"/>
        </w:rPr>
        <w:t> </w:t>
      </w:r>
      <w:r>
        <w:rPr>
          <w:color w:val="58595B"/>
          <w:sz w:val="24"/>
        </w:rPr>
        <w:t>decision</w:t>
      </w:r>
      <w:r>
        <w:rPr>
          <w:color w:val="58595B"/>
          <w:spacing w:val="-4"/>
          <w:sz w:val="24"/>
        </w:rPr>
        <w:t> </w:t>
      </w:r>
      <w:r>
        <w:rPr>
          <w:color w:val="58595B"/>
          <w:sz w:val="24"/>
        </w:rPr>
        <w:t>of</w:t>
      </w:r>
      <w:r>
        <w:rPr>
          <w:color w:val="58595B"/>
          <w:spacing w:val="-3"/>
          <w:sz w:val="24"/>
        </w:rPr>
        <w:t> </w:t>
      </w:r>
      <w:r>
        <w:rPr>
          <w:i/>
          <w:color w:val="58595B"/>
          <w:sz w:val="24"/>
        </w:rPr>
        <w:t>Roe</w:t>
      </w:r>
    </w:p>
    <w:p>
      <w:pPr>
        <w:pStyle w:val="BodyText"/>
        <w:spacing w:line="480" w:lineRule="auto"/>
      </w:pPr>
      <w:r>
        <w:rPr>
          <w:i/>
          <w:color w:val="58595B"/>
        </w:rPr>
        <w:t>v. Wade</w:t>
      </w:r>
      <w:r>
        <w:rPr>
          <w:color w:val="58595B"/>
        </w:rPr>
        <w:t>, the landmark case from 1973 establishing a constitutional right to abortion and establishing</w:t>
      </w:r>
      <w:r>
        <w:rPr>
          <w:color w:val="58595B"/>
          <w:spacing w:val="-5"/>
        </w:rPr>
        <w:t> </w:t>
      </w:r>
      <w:r>
        <w:rPr>
          <w:color w:val="58595B"/>
        </w:rPr>
        <w:t>a</w:t>
      </w:r>
      <w:r>
        <w:rPr>
          <w:color w:val="58595B"/>
          <w:spacing w:val="-5"/>
        </w:rPr>
        <w:t> </w:t>
      </w:r>
      <w:r>
        <w:rPr>
          <w:color w:val="58595B"/>
        </w:rPr>
        <w:t>trimester-based</w:t>
      </w:r>
      <w:r>
        <w:rPr>
          <w:color w:val="58595B"/>
          <w:spacing w:val="-5"/>
        </w:rPr>
        <w:t> </w:t>
      </w:r>
      <w:r>
        <w:rPr>
          <w:color w:val="58595B"/>
        </w:rPr>
        <w:t>framework</w:t>
      </w:r>
      <w:r>
        <w:rPr>
          <w:color w:val="58595B"/>
          <w:spacing w:val="-2"/>
        </w:rPr>
        <w:t> </w:t>
      </w:r>
      <w:r>
        <w:rPr>
          <w:color w:val="58595B"/>
        </w:rPr>
        <w:t>regulating</w:t>
      </w:r>
      <w:r>
        <w:rPr>
          <w:color w:val="58595B"/>
          <w:spacing w:val="-5"/>
        </w:rPr>
        <w:t> </w:t>
      </w:r>
      <w:r>
        <w:rPr>
          <w:color w:val="58595B"/>
        </w:rPr>
        <w:t>abortion.</w:t>
      </w:r>
      <w:r>
        <w:rPr>
          <w:color w:val="58595B"/>
          <w:spacing w:val="-5"/>
        </w:rPr>
        <w:t> </w:t>
      </w:r>
      <w:r>
        <w:rPr>
          <w:color w:val="58595B"/>
        </w:rPr>
        <w:t>The</w:t>
      </w:r>
      <w:r>
        <w:rPr>
          <w:color w:val="58595B"/>
          <w:spacing w:val="-5"/>
        </w:rPr>
        <w:t> </w:t>
      </w:r>
      <w:r>
        <w:rPr>
          <w:i/>
          <w:color w:val="58595B"/>
        </w:rPr>
        <w:t>Dobbs</w:t>
      </w:r>
      <w:r>
        <w:rPr>
          <w:i/>
          <w:color w:val="58595B"/>
          <w:spacing w:val="-4"/>
        </w:rPr>
        <w:t> </w:t>
      </w:r>
      <w:r>
        <w:rPr>
          <w:color w:val="58595B"/>
        </w:rPr>
        <w:t>decision</w:t>
      </w:r>
      <w:r>
        <w:rPr>
          <w:color w:val="58595B"/>
          <w:spacing w:val="-5"/>
        </w:rPr>
        <w:t> </w:t>
      </w:r>
      <w:r>
        <w:rPr>
          <w:color w:val="58595B"/>
        </w:rPr>
        <w:t>overturned</w:t>
      </w:r>
      <w:r>
        <w:rPr>
          <w:color w:val="58595B"/>
          <w:spacing w:val="-5"/>
        </w:rPr>
        <w:t> </w:t>
      </w:r>
      <w:r>
        <w:rPr>
          <w:color w:val="58595B"/>
        </w:rPr>
        <w:t>the federal standards for</w:t>
      </w:r>
      <w:r>
        <w:rPr>
          <w:color w:val="58595B"/>
          <w:spacing w:val="-1"/>
        </w:rPr>
        <w:t> </w:t>
      </w:r>
      <w:r>
        <w:rPr>
          <w:color w:val="58595B"/>
        </w:rPr>
        <w:t>abortion</w:t>
      </w:r>
      <w:r>
        <w:rPr>
          <w:color w:val="58595B"/>
          <w:spacing w:val="-1"/>
        </w:rPr>
        <w:t> </w:t>
      </w:r>
      <w:r>
        <w:rPr>
          <w:color w:val="58595B"/>
        </w:rPr>
        <w:t>access, allowing</w:t>
      </w:r>
      <w:r>
        <w:rPr>
          <w:color w:val="58595B"/>
          <w:spacing w:val="-1"/>
        </w:rPr>
        <w:t> </w:t>
      </w:r>
      <w:r>
        <w:rPr>
          <w:color w:val="58595B"/>
        </w:rPr>
        <w:t>states</w:t>
      </w:r>
      <w:r>
        <w:rPr>
          <w:color w:val="58595B"/>
          <w:spacing w:val="-1"/>
        </w:rPr>
        <w:t> </w:t>
      </w:r>
      <w:r>
        <w:rPr>
          <w:color w:val="58595B"/>
        </w:rPr>
        <w:t>to set their</w:t>
      </w:r>
      <w:r>
        <w:rPr>
          <w:color w:val="58595B"/>
          <w:spacing w:val="-1"/>
        </w:rPr>
        <w:t> </w:t>
      </w:r>
      <w:r>
        <w:rPr>
          <w:color w:val="58595B"/>
        </w:rPr>
        <w:t>own</w:t>
      </w:r>
      <w:r>
        <w:rPr>
          <w:color w:val="58595B"/>
          <w:spacing w:val="-1"/>
        </w:rPr>
        <w:t> </w:t>
      </w:r>
      <w:r>
        <w:rPr>
          <w:color w:val="58595B"/>
        </w:rPr>
        <w:t>policies</w:t>
      </w:r>
      <w:r>
        <w:rPr>
          <w:color w:val="58595B"/>
          <w:spacing w:val="-1"/>
        </w:rPr>
        <w:t> </w:t>
      </w:r>
      <w:r>
        <w:rPr>
          <w:color w:val="58595B"/>
        </w:rPr>
        <w:t>and</w:t>
      </w:r>
      <w:r>
        <w:rPr>
          <w:color w:val="58595B"/>
          <w:spacing w:val="-1"/>
        </w:rPr>
        <w:t> </w:t>
      </w:r>
      <w:r>
        <w:rPr>
          <w:color w:val="58595B"/>
        </w:rPr>
        <w:t>create abortion laws without restriction. In response to this decision, many states have banned or severely restricted access to abortion. This study examined what that meant for medical education. Through interviews with fourth-year medical students and first-year residents, the study found that abortion restrictions reduced curriculum content, limited access to clinical sites, and created gaps in training that participants themselves recognized and worried about. The effects extended beyond procedure-specific skills, touching career decisions, specialty choices, and how participants thought about the doctors they were becoming.</w:t>
      </w:r>
    </w:p>
    <w:sectPr>
      <w:footerReference w:type="default" r:id="rId5"/>
      <w:type w:val="continuous"/>
      <w:pgSz w:w="12240" w:h="15840"/>
      <w:pgMar w:header="0" w:footer="1063" w:top="1360" w:bottom="1260" w:left="1440" w:right="144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69408">
              <wp:simplePos x="0" y="0"/>
              <wp:positionH relativeFrom="page">
                <wp:posOffset>3835407</wp:posOffset>
              </wp:positionH>
              <wp:positionV relativeFrom="page">
                <wp:posOffset>9243907</wp:posOffset>
              </wp:positionV>
              <wp:extent cx="1016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1600" cy="194310"/>
                      </a:xfrm>
                      <a:prstGeom prst="rect">
                        <a:avLst/>
                      </a:prstGeom>
                    </wps:spPr>
                    <wps:txbx>
                      <w:txbxContent>
                        <w:p>
                          <w:pPr>
                            <w:pStyle w:val="BodyText"/>
                            <w:spacing w:before="10"/>
                            <w:ind w:left="20"/>
                          </w:pPr>
                          <w:r>
                            <w:rPr>
                              <w:color w:val="231F20"/>
                              <w:spacing w:val="-10"/>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00061pt;margin-top:727.86676pt;width:8pt;height:15.3pt;mso-position-horizontal-relative:page;mso-position-vertical-relative:page;z-index:-15747072" type="#_x0000_t202" id="docshape1" filled="false" stroked="false">
              <v:textbox inset="0,0,0,0">
                <w:txbxContent>
                  <w:p>
                    <w:pPr>
                      <w:pStyle w:val="BodyText"/>
                      <w:spacing w:before="10"/>
                      <w:ind w:left="20"/>
                    </w:pPr>
                    <w:r>
                      <w:rPr>
                        <w:color w:val="231F20"/>
                        <w:spacing w:val="-10"/>
                      </w:rPr>
                      <w:t>3</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East Tennessee State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 Emily Frances</dc:creator>
  <dc:description/>
  <dc:title>Skeens Dissertation 071526 updated.pdf</dc:title>
  <dcterms:created xsi:type="dcterms:W3CDTF">2026-07-27T17:45:55Z</dcterms:created>
  <dcterms:modified xsi:type="dcterms:W3CDTF">2026-07-27T17:45:55Z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Creator">
    <vt:lpwstr>Acrobat PDFMaker 26 for Word</vt:lpwstr>
  </property>
  <property fmtid="{D5CDD505-2E9C-101B-9397-08002B2CF9AE}" pid="4" name="GrammarlyDocumentId">
    <vt:lpwstr>58b96b8d-014d-49bb-956f-7d9bdeae82ee</vt:lpwstr>
  </property>
  <property fmtid="{D5CDD505-2E9C-101B-9397-08002B2CF9AE}" pid="5" name="LastSaved">
    <vt:filetime>2026-07-27T00:00:00Z</vt:filetime>
  </property>
  <property fmtid="{D5CDD505-2E9C-101B-9397-08002B2CF9AE}" pid="6" name="Producer">
    <vt:lpwstr>Acrobat Distiller 26.0 (Windows)</vt:lpwstr>
  </property>
  <property fmtid="{D5CDD505-2E9C-101B-9397-08002B2CF9AE}" pid="7" name="SourceModified">
    <vt:lpwstr/>
  </property>
</Properties>
</file>