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9C27" w14:textId="77777777" w:rsidR="00631C37" w:rsidRPr="008E0165" w:rsidRDefault="00026EAC" w:rsidP="00631C37">
      <w:pPr>
        <w:jc w:val="center"/>
        <w:rPr>
          <w:rFonts w:cs="Times New Roman"/>
          <w:szCs w:val="24"/>
        </w:rPr>
      </w:pPr>
      <w:r>
        <w:rPr>
          <w:rFonts w:cs="Times New Roman"/>
          <w:szCs w:val="24"/>
        </w:rPr>
        <w:t>Relationships Between Dual Enrollment and Completion Rates at a</w:t>
      </w:r>
      <w:r w:rsidR="00930352">
        <w:rPr>
          <w:rFonts w:cs="Times New Roman"/>
          <w:szCs w:val="24"/>
        </w:rPr>
        <w:t xml:space="preserve"> </w:t>
      </w:r>
      <w:r w:rsidR="008B02C1">
        <w:rPr>
          <w:rFonts w:cs="Times New Roman"/>
          <w:szCs w:val="24"/>
        </w:rPr>
        <w:t>Tennessee</w:t>
      </w:r>
      <w:r>
        <w:rPr>
          <w:rFonts w:cs="Times New Roman"/>
          <w:szCs w:val="24"/>
        </w:rPr>
        <w:t xml:space="preserve"> Community College</w:t>
      </w:r>
    </w:p>
    <w:p w14:paraId="028A28E3" w14:textId="77777777" w:rsidR="00631C37" w:rsidRPr="008E0165" w:rsidRDefault="00631C37" w:rsidP="00631C37">
      <w:pPr>
        <w:jc w:val="center"/>
        <w:rPr>
          <w:rFonts w:cs="Times New Roman"/>
          <w:szCs w:val="24"/>
        </w:rPr>
      </w:pPr>
      <w:r w:rsidRPr="008E0165">
        <w:rPr>
          <w:rFonts w:cs="Times New Roman"/>
          <w:szCs w:val="24"/>
        </w:rPr>
        <w:t>________________________</w:t>
      </w:r>
    </w:p>
    <w:p w14:paraId="094F4018" w14:textId="77777777" w:rsidR="00631C37" w:rsidRPr="008E0165" w:rsidRDefault="00631C37" w:rsidP="00631C37">
      <w:pPr>
        <w:spacing w:before="240"/>
        <w:jc w:val="center"/>
        <w:rPr>
          <w:rFonts w:cs="Times New Roman"/>
          <w:szCs w:val="24"/>
        </w:rPr>
      </w:pPr>
      <w:r w:rsidRPr="008E0165">
        <w:rPr>
          <w:rFonts w:cs="Times New Roman"/>
          <w:szCs w:val="24"/>
        </w:rPr>
        <w:t xml:space="preserve">A </w:t>
      </w:r>
      <w:r w:rsidR="00026EAC">
        <w:rPr>
          <w:rFonts w:cs="Times New Roman"/>
          <w:szCs w:val="24"/>
        </w:rPr>
        <w:t>dissertation</w:t>
      </w:r>
    </w:p>
    <w:p w14:paraId="405A9D77" w14:textId="77777777" w:rsidR="00631C37" w:rsidRPr="008E0165" w:rsidRDefault="00631C37" w:rsidP="00631C37">
      <w:pPr>
        <w:jc w:val="center"/>
        <w:rPr>
          <w:rFonts w:cs="Times New Roman"/>
          <w:szCs w:val="24"/>
        </w:rPr>
      </w:pPr>
      <w:r w:rsidRPr="008E0165">
        <w:rPr>
          <w:rFonts w:cs="Times New Roman"/>
          <w:szCs w:val="24"/>
        </w:rPr>
        <w:t>presented to</w:t>
      </w:r>
    </w:p>
    <w:p w14:paraId="6F57A708" w14:textId="77777777" w:rsidR="00631C37" w:rsidRPr="008E0165" w:rsidRDefault="00631C37" w:rsidP="00631C37">
      <w:pPr>
        <w:jc w:val="center"/>
        <w:rPr>
          <w:rFonts w:cs="Times New Roman"/>
          <w:szCs w:val="24"/>
        </w:rPr>
      </w:pPr>
      <w:r w:rsidRPr="008E0165">
        <w:rPr>
          <w:rFonts w:cs="Times New Roman"/>
          <w:szCs w:val="24"/>
        </w:rPr>
        <w:t xml:space="preserve">the faculty of the Department of </w:t>
      </w:r>
      <w:r w:rsidR="00026EAC">
        <w:rPr>
          <w:rFonts w:cs="Times New Roman"/>
          <w:szCs w:val="24"/>
        </w:rPr>
        <w:t>Educational Leadership and Policy Analysis</w:t>
      </w:r>
    </w:p>
    <w:p w14:paraId="10AFC59C" w14:textId="77777777" w:rsidR="00631C37" w:rsidRDefault="00631C37" w:rsidP="00631C37">
      <w:pPr>
        <w:jc w:val="center"/>
        <w:rPr>
          <w:rFonts w:cs="Times New Roman"/>
          <w:szCs w:val="24"/>
        </w:rPr>
      </w:pPr>
      <w:r w:rsidRPr="008E0165">
        <w:rPr>
          <w:rFonts w:cs="Times New Roman"/>
          <w:szCs w:val="24"/>
        </w:rPr>
        <w:t>East Tennessee State University</w:t>
      </w:r>
    </w:p>
    <w:p w14:paraId="423CB422" w14:textId="77777777" w:rsidR="00631C37" w:rsidRPr="008E0165" w:rsidRDefault="00631C37" w:rsidP="00631C37">
      <w:pPr>
        <w:jc w:val="center"/>
        <w:rPr>
          <w:rFonts w:cs="Times New Roman"/>
          <w:szCs w:val="24"/>
        </w:rPr>
      </w:pPr>
    </w:p>
    <w:p w14:paraId="2DD75A9D" w14:textId="77777777" w:rsidR="00631C37" w:rsidRPr="008E0165" w:rsidRDefault="00631C37" w:rsidP="00631C37">
      <w:pPr>
        <w:jc w:val="center"/>
        <w:rPr>
          <w:rFonts w:cs="Times New Roman"/>
          <w:szCs w:val="24"/>
        </w:rPr>
      </w:pPr>
      <w:r w:rsidRPr="008E0165">
        <w:rPr>
          <w:rFonts w:cs="Times New Roman"/>
          <w:szCs w:val="24"/>
        </w:rPr>
        <w:t>In partial fulfillment</w:t>
      </w:r>
    </w:p>
    <w:p w14:paraId="39BBFFD8" w14:textId="77777777" w:rsidR="00631C37" w:rsidRPr="008E0165" w:rsidRDefault="00631C37" w:rsidP="00631C37">
      <w:pPr>
        <w:jc w:val="center"/>
        <w:rPr>
          <w:rFonts w:cs="Times New Roman"/>
          <w:szCs w:val="24"/>
        </w:rPr>
      </w:pPr>
      <w:r w:rsidRPr="008E0165">
        <w:rPr>
          <w:rFonts w:cs="Times New Roman"/>
          <w:szCs w:val="24"/>
        </w:rPr>
        <w:t>of the requirements for the degree</w:t>
      </w:r>
    </w:p>
    <w:p w14:paraId="44CF3D09" w14:textId="77777777" w:rsidR="00734075" w:rsidRDefault="00026EAC" w:rsidP="00631C37">
      <w:pPr>
        <w:jc w:val="center"/>
        <w:rPr>
          <w:rFonts w:cs="Times New Roman"/>
          <w:szCs w:val="24"/>
        </w:rPr>
      </w:pPr>
      <w:r>
        <w:rPr>
          <w:rFonts w:cs="Times New Roman"/>
          <w:szCs w:val="24"/>
        </w:rPr>
        <w:t>Doctor of Education in Educational Leadership</w:t>
      </w:r>
      <w:r w:rsidR="00734075">
        <w:rPr>
          <w:rFonts w:cs="Times New Roman"/>
          <w:szCs w:val="24"/>
        </w:rPr>
        <w:t xml:space="preserve">, </w:t>
      </w:r>
    </w:p>
    <w:p w14:paraId="7C52CDE4" w14:textId="21C2AF63" w:rsidR="00631C37" w:rsidRPr="008E0165" w:rsidRDefault="00734075" w:rsidP="00631C37">
      <w:pPr>
        <w:jc w:val="center"/>
        <w:rPr>
          <w:rFonts w:cs="Times New Roman"/>
          <w:szCs w:val="24"/>
        </w:rPr>
      </w:pPr>
      <w:r>
        <w:rPr>
          <w:rFonts w:cs="Times New Roman"/>
          <w:szCs w:val="24"/>
        </w:rPr>
        <w:t>concentration in Higher Education Leadership</w:t>
      </w:r>
    </w:p>
    <w:p w14:paraId="0FB1AE86" w14:textId="77777777" w:rsidR="00631C37" w:rsidRPr="008E0165" w:rsidRDefault="00631C37" w:rsidP="00631C37">
      <w:pPr>
        <w:jc w:val="center"/>
        <w:rPr>
          <w:rFonts w:cs="Times New Roman"/>
          <w:szCs w:val="24"/>
        </w:rPr>
      </w:pPr>
      <w:r w:rsidRPr="008E0165">
        <w:rPr>
          <w:rFonts w:cs="Times New Roman"/>
          <w:szCs w:val="24"/>
        </w:rPr>
        <w:t>___________________</w:t>
      </w:r>
      <w:r>
        <w:rPr>
          <w:rFonts w:cs="Times New Roman"/>
          <w:szCs w:val="24"/>
        </w:rPr>
        <w:t>___</w:t>
      </w:r>
    </w:p>
    <w:p w14:paraId="2E81068C" w14:textId="77777777" w:rsidR="00631C37" w:rsidRPr="008E0165" w:rsidRDefault="00631C37" w:rsidP="00631C37">
      <w:pPr>
        <w:spacing w:before="240"/>
        <w:jc w:val="center"/>
        <w:rPr>
          <w:rFonts w:cs="Times New Roman"/>
          <w:szCs w:val="24"/>
        </w:rPr>
      </w:pPr>
      <w:r w:rsidRPr="008E0165">
        <w:rPr>
          <w:rFonts w:cs="Times New Roman"/>
          <w:szCs w:val="24"/>
        </w:rPr>
        <w:t>by</w:t>
      </w:r>
    </w:p>
    <w:p w14:paraId="26E507B8" w14:textId="77777777" w:rsidR="00631C37" w:rsidRPr="008E0165" w:rsidRDefault="00026EAC" w:rsidP="00631C37">
      <w:pPr>
        <w:jc w:val="center"/>
        <w:rPr>
          <w:rFonts w:cs="Times New Roman"/>
          <w:szCs w:val="24"/>
        </w:rPr>
      </w:pPr>
      <w:r>
        <w:rPr>
          <w:rFonts w:cs="Times New Roman"/>
          <w:szCs w:val="24"/>
        </w:rPr>
        <w:t>Misty Peters</w:t>
      </w:r>
    </w:p>
    <w:p w14:paraId="3B65F609" w14:textId="58649EBD" w:rsidR="00631C37" w:rsidRPr="008E0165" w:rsidRDefault="006212B8" w:rsidP="00631C37">
      <w:pPr>
        <w:jc w:val="center"/>
        <w:rPr>
          <w:rFonts w:cs="Times New Roman"/>
          <w:szCs w:val="24"/>
        </w:rPr>
      </w:pPr>
      <w:r>
        <w:rPr>
          <w:rFonts w:cs="Times New Roman"/>
          <w:szCs w:val="24"/>
        </w:rPr>
        <w:t>May</w:t>
      </w:r>
      <w:r w:rsidR="00026EAC">
        <w:rPr>
          <w:rFonts w:cs="Times New Roman"/>
          <w:szCs w:val="24"/>
        </w:rPr>
        <w:t xml:space="preserve"> 202</w:t>
      </w:r>
      <w:r>
        <w:rPr>
          <w:rFonts w:cs="Times New Roman"/>
          <w:szCs w:val="24"/>
        </w:rPr>
        <w:t>6</w:t>
      </w:r>
    </w:p>
    <w:p w14:paraId="519C8917" w14:textId="77777777" w:rsidR="00631C37" w:rsidRDefault="00631C37" w:rsidP="00631C37">
      <w:pPr>
        <w:jc w:val="center"/>
        <w:rPr>
          <w:rFonts w:cs="Times New Roman"/>
          <w:szCs w:val="24"/>
        </w:rPr>
      </w:pPr>
      <w:r w:rsidRPr="008E0165">
        <w:rPr>
          <w:rFonts w:cs="Times New Roman"/>
          <w:szCs w:val="24"/>
        </w:rPr>
        <w:t>__________________</w:t>
      </w:r>
      <w:r>
        <w:rPr>
          <w:rFonts w:cs="Times New Roman"/>
          <w:szCs w:val="24"/>
        </w:rPr>
        <w:t>___</w:t>
      </w:r>
    </w:p>
    <w:p w14:paraId="7D441EAE" w14:textId="77777777" w:rsidR="00631C37" w:rsidRDefault="00026EAC" w:rsidP="00631C37">
      <w:pPr>
        <w:spacing w:before="240"/>
        <w:jc w:val="center"/>
        <w:rPr>
          <w:rFonts w:cs="Times New Roman"/>
          <w:szCs w:val="24"/>
        </w:rPr>
      </w:pPr>
      <w:r>
        <w:rPr>
          <w:rFonts w:cs="Times New Roman"/>
          <w:szCs w:val="24"/>
        </w:rPr>
        <w:t>Dr. Jill Channing</w:t>
      </w:r>
      <w:r w:rsidR="00631C37">
        <w:rPr>
          <w:rFonts w:cs="Times New Roman"/>
          <w:szCs w:val="24"/>
        </w:rPr>
        <w:t>, Chair</w:t>
      </w:r>
    </w:p>
    <w:p w14:paraId="3959E58F" w14:textId="77777777" w:rsidR="00631C37" w:rsidRDefault="00026EAC" w:rsidP="00631C37">
      <w:pPr>
        <w:jc w:val="center"/>
        <w:rPr>
          <w:rFonts w:cs="Times New Roman"/>
          <w:szCs w:val="24"/>
        </w:rPr>
      </w:pPr>
      <w:r>
        <w:rPr>
          <w:rFonts w:cs="Times New Roman"/>
          <w:szCs w:val="24"/>
        </w:rPr>
        <w:t>Dr. Don Good</w:t>
      </w:r>
    </w:p>
    <w:p w14:paraId="4BD4C5D1" w14:textId="45D7373A" w:rsidR="00631C37" w:rsidRDefault="00026EAC" w:rsidP="00734075">
      <w:pPr>
        <w:jc w:val="center"/>
        <w:rPr>
          <w:rFonts w:cs="Times New Roman"/>
          <w:szCs w:val="24"/>
        </w:rPr>
      </w:pPr>
      <w:r>
        <w:rPr>
          <w:rFonts w:cs="Times New Roman"/>
          <w:szCs w:val="24"/>
        </w:rPr>
        <w:t>Dr. James Lampley</w:t>
      </w:r>
    </w:p>
    <w:p w14:paraId="3CB5B8B8" w14:textId="3165253E" w:rsidR="00A31857" w:rsidRDefault="00631C37" w:rsidP="00631C37">
      <w:pPr>
        <w:jc w:val="center"/>
        <w:rPr>
          <w:rFonts w:cs="Times New Roman"/>
          <w:szCs w:val="24"/>
        </w:rPr>
      </w:pPr>
      <w:r>
        <w:rPr>
          <w:rFonts w:cs="Times New Roman"/>
          <w:szCs w:val="24"/>
        </w:rPr>
        <w:br/>
        <w:t xml:space="preserve">Keywords: </w:t>
      </w:r>
      <w:r w:rsidR="00026EAC">
        <w:rPr>
          <w:rFonts w:cs="Times New Roman"/>
          <w:szCs w:val="24"/>
        </w:rPr>
        <w:t>dual enrollment</w:t>
      </w:r>
      <w:r>
        <w:rPr>
          <w:rFonts w:cs="Times New Roman"/>
          <w:szCs w:val="24"/>
        </w:rPr>
        <w:t xml:space="preserve">, </w:t>
      </w:r>
      <w:r w:rsidR="00B85018">
        <w:rPr>
          <w:rFonts w:cs="Times New Roman"/>
          <w:szCs w:val="24"/>
        </w:rPr>
        <w:t>community college</w:t>
      </w:r>
      <w:r>
        <w:rPr>
          <w:rFonts w:cs="Times New Roman"/>
          <w:szCs w:val="24"/>
        </w:rPr>
        <w:t xml:space="preserve">, </w:t>
      </w:r>
      <w:r w:rsidR="00B85018">
        <w:rPr>
          <w:rFonts w:cs="Times New Roman"/>
        </w:rPr>
        <w:t xml:space="preserve">graduating within </w:t>
      </w:r>
      <w:r w:rsidR="00B85018" w:rsidRPr="00AF65A3">
        <w:rPr>
          <w:rFonts w:cs="Times New Roman"/>
        </w:rPr>
        <w:t>3</w:t>
      </w:r>
      <w:r w:rsidR="00B85018">
        <w:rPr>
          <w:rFonts w:cs="Times New Roman"/>
        </w:rPr>
        <w:t xml:space="preserve"> </w:t>
      </w:r>
      <w:r w:rsidR="00B85018" w:rsidRPr="00AF65A3">
        <w:rPr>
          <w:rFonts w:cs="Times New Roman"/>
        </w:rPr>
        <w:t>year</w:t>
      </w:r>
      <w:r w:rsidR="00B85018">
        <w:rPr>
          <w:rFonts w:cs="Times New Roman"/>
        </w:rPr>
        <w:t>s (150%)</w:t>
      </w:r>
    </w:p>
    <w:p w14:paraId="466EC11A" w14:textId="77777777" w:rsidR="00283A2B" w:rsidRDefault="00283A2B" w:rsidP="00283A2B">
      <w:pPr>
        <w:pStyle w:val="Heading1"/>
      </w:pPr>
      <w:bookmarkStart w:id="0" w:name="_Toc204344618"/>
      <w:bookmarkStart w:id="1" w:name="_Toc204345116"/>
      <w:bookmarkStart w:id="2" w:name="_Toc224458874"/>
      <w:r>
        <w:lastRenderedPageBreak/>
        <w:t>plain language abstract</w:t>
      </w:r>
      <w:bookmarkEnd w:id="0"/>
      <w:bookmarkEnd w:id="1"/>
      <w:bookmarkEnd w:id="2"/>
    </w:p>
    <w:p w14:paraId="21F2E62D" w14:textId="354429CE" w:rsidR="00283A2B" w:rsidRDefault="005723D1" w:rsidP="00283A2B">
      <w:pPr>
        <w:shd w:val="clear" w:color="auto" w:fill="FFFFFF"/>
        <w:rPr>
          <w:rFonts w:cs="Times New Roman"/>
          <w:color w:val="333333"/>
        </w:rPr>
      </w:pPr>
      <w:r>
        <w:rPr>
          <w:rFonts w:cs="Times New Roman"/>
          <w:color w:val="333333"/>
        </w:rPr>
        <w:t>This study examined whether taking dual enrollment courses in high school is linked to better college success at a Tennessee community college. Dual enrollment allows high school students to complete college coursework early</w:t>
      </w:r>
      <w:r w:rsidR="003657D5">
        <w:rPr>
          <w:rFonts w:cs="Times New Roman"/>
          <w:color w:val="333333"/>
        </w:rPr>
        <w:t xml:space="preserve">. This study compared students who completed at </w:t>
      </w:r>
      <w:r w:rsidR="0092206A">
        <w:rPr>
          <w:rFonts w:cs="Times New Roman"/>
          <w:color w:val="333333"/>
        </w:rPr>
        <w:t>least</w:t>
      </w:r>
      <w:r w:rsidR="003657D5">
        <w:rPr>
          <w:rFonts w:cs="Times New Roman"/>
          <w:color w:val="333333"/>
        </w:rPr>
        <w:t xml:space="preserve"> one dual enrollment course with similar students who did not, focusing on outcomes such as graduation within three years, first-year grade point average (GPA), enrollment status, retention from fall to spring and fall to fall, and the number of credits earned.</w:t>
      </w:r>
    </w:p>
    <w:p w14:paraId="7E751D1E" w14:textId="77777777" w:rsidR="00283A2B" w:rsidRDefault="00283A2B" w:rsidP="00283A2B">
      <w:pPr>
        <w:shd w:val="clear" w:color="auto" w:fill="FFFFFF"/>
        <w:rPr>
          <w:rFonts w:cs="Times New Roman"/>
          <w:color w:val="333333"/>
        </w:rPr>
      </w:pPr>
    </w:p>
    <w:p w14:paraId="6DEB00C1" w14:textId="0C2AFD53" w:rsidR="00283A2B" w:rsidRDefault="003657D5" w:rsidP="00283A2B">
      <w:pPr>
        <w:shd w:val="clear" w:color="auto" w:fill="FFFFFF"/>
        <w:rPr>
          <w:rFonts w:cs="Times New Roman"/>
          <w:color w:val="333333"/>
          <w:szCs w:val="24"/>
          <w:shd w:val="clear" w:color="auto" w:fill="FFFFFF"/>
        </w:rPr>
      </w:pPr>
      <w:r>
        <w:rPr>
          <w:rFonts w:cs="Times New Roman"/>
          <w:color w:val="333333"/>
        </w:rPr>
        <w:t>The study used existing records from students who first enrolled between 2017 and 2021. To ensure a fair comparison, only students who met the academic requirements for dual enrollment in high school, a GPA</w:t>
      </w:r>
      <w:r w:rsidR="000B6ACC">
        <w:rPr>
          <w:rFonts w:cs="Times New Roman"/>
          <w:color w:val="333333"/>
        </w:rPr>
        <w:t xml:space="preserve"> of 3.0 to 4.0</w:t>
      </w:r>
      <w:r>
        <w:rPr>
          <w:rFonts w:cs="Times New Roman"/>
          <w:color w:val="333333"/>
        </w:rPr>
        <w:t xml:space="preserve"> and an ACT s</w:t>
      </w:r>
      <w:r w:rsidR="004A5618">
        <w:rPr>
          <w:rFonts w:cs="Times New Roman"/>
          <w:color w:val="333333"/>
        </w:rPr>
        <w:t>c</w:t>
      </w:r>
      <w:r>
        <w:rPr>
          <w:rFonts w:cs="Times New Roman"/>
          <w:color w:val="333333"/>
        </w:rPr>
        <w:t xml:space="preserve">ore of 21 or higher, were included. The final sample included 2,078 students. Statistical tests were used to examine differences between the groups. </w:t>
      </w:r>
    </w:p>
    <w:p w14:paraId="6B88EBDD" w14:textId="77777777" w:rsidR="00283A2B" w:rsidRDefault="00283A2B" w:rsidP="00283A2B">
      <w:pPr>
        <w:shd w:val="clear" w:color="auto" w:fill="FFFFFF"/>
        <w:rPr>
          <w:rFonts w:cs="Times New Roman"/>
          <w:color w:val="333333"/>
          <w:szCs w:val="24"/>
          <w:shd w:val="clear" w:color="auto" w:fill="FFFFFF"/>
        </w:rPr>
      </w:pPr>
    </w:p>
    <w:p w14:paraId="7ECD71F2" w14:textId="326ABAC5" w:rsidR="00283A2B" w:rsidRDefault="003657D5" w:rsidP="00283A2B">
      <w:pPr>
        <w:shd w:val="clear" w:color="auto" w:fill="FFFFFF"/>
        <w:rPr>
          <w:rFonts w:cs="Times New Roman"/>
          <w:color w:val="333333"/>
          <w:szCs w:val="24"/>
          <w:shd w:val="clear" w:color="auto" w:fill="FFFFFF"/>
        </w:rPr>
      </w:pPr>
      <w:r>
        <w:rPr>
          <w:rFonts w:cs="Times New Roman"/>
          <w:color w:val="333333"/>
          <w:szCs w:val="24"/>
          <w:shd w:val="clear" w:color="auto" w:fill="FFFFFF"/>
        </w:rPr>
        <w:t xml:space="preserve">Findings showed that students who took at least one dual enrollment course were more likely to experience positive educational outcomes. Dual enrollment students were more likely to graduate within three years, earn more </w:t>
      </w:r>
      <w:r w:rsidR="004D6F14">
        <w:rPr>
          <w:rFonts w:cs="Times New Roman"/>
          <w:color w:val="333333"/>
          <w:szCs w:val="24"/>
          <w:shd w:val="clear" w:color="auto" w:fill="FFFFFF"/>
        </w:rPr>
        <w:t>credits during their first year, enroll full-time, achieve higher first-year GPAs, and remain enrolled from fall to spring. The only area where dual enrollment students did not outperform their peers was fall-to-fall retention.</w:t>
      </w:r>
    </w:p>
    <w:p w14:paraId="438BE2B8" w14:textId="68858DCC" w:rsidR="004D6F14" w:rsidRDefault="004D6F14" w:rsidP="00283A2B">
      <w:pPr>
        <w:shd w:val="clear" w:color="auto" w:fill="FFFFFF"/>
        <w:rPr>
          <w:rFonts w:cs="Times New Roman"/>
          <w:color w:val="333333"/>
          <w:szCs w:val="24"/>
          <w:shd w:val="clear" w:color="auto" w:fill="FFFFFF"/>
        </w:rPr>
      </w:pPr>
    </w:p>
    <w:p w14:paraId="7B8C0A29" w14:textId="2B866813" w:rsidR="00283A2B" w:rsidRPr="00C2225B" w:rsidRDefault="004D6F14" w:rsidP="00C2225B">
      <w:pPr>
        <w:shd w:val="clear" w:color="auto" w:fill="FFFFFF"/>
        <w:rPr>
          <w:rFonts w:cs="Times New Roman"/>
          <w:color w:val="333333"/>
          <w:szCs w:val="24"/>
          <w:shd w:val="clear" w:color="auto" w:fill="FFFFFF"/>
        </w:rPr>
      </w:pPr>
      <w:r>
        <w:rPr>
          <w:rFonts w:cs="Times New Roman"/>
          <w:color w:val="333333"/>
          <w:szCs w:val="24"/>
          <w:shd w:val="clear" w:color="auto" w:fill="FFFFFF"/>
        </w:rPr>
        <w:t xml:space="preserve">Overall, the results show a clear connection between taking dual enrollment courses in high school and stronger academic progress in college. Students who participated in dual enrollment </w:t>
      </w:r>
      <w:r>
        <w:rPr>
          <w:rFonts w:cs="Times New Roman"/>
          <w:color w:val="333333"/>
          <w:szCs w:val="24"/>
          <w:shd w:val="clear" w:color="auto" w:fill="FFFFFF"/>
        </w:rPr>
        <w:lastRenderedPageBreak/>
        <w:t>were more likely to begin and complete their college programs successfully compared to similar non-participants.</w:t>
      </w:r>
      <w:r w:rsidR="00283A2B">
        <w:br w:type="page"/>
      </w:r>
    </w:p>
    <w:p w14:paraId="227C43DC" w14:textId="04243182" w:rsidR="00631C37" w:rsidRDefault="00631C37" w:rsidP="008927A1">
      <w:pPr>
        <w:pStyle w:val="Heading1"/>
      </w:pPr>
      <w:bookmarkStart w:id="3" w:name="_Hlk224308066"/>
      <w:bookmarkStart w:id="4" w:name="_Toc224458875"/>
      <w:r>
        <w:lastRenderedPageBreak/>
        <w:t>ABSTRACT</w:t>
      </w:r>
      <w:bookmarkEnd w:id="4"/>
    </w:p>
    <w:p w14:paraId="144420AC" w14:textId="77777777" w:rsidR="00026EAC" w:rsidRPr="008E0165" w:rsidRDefault="00026EAC" w:rsidP="00026EAC">
      <w:pPr>
        <w:jc w:val="center"/>
        <w:rPr>
          <w:rFonts w:cs="Times New Roman"/>
          <w:szCs w:val="24"/>
        </w:rPr>
      </w:pPr>
      <w:r>
        <w:rPr>
          <w:rFonts w:cs="Times New Roman"/>
          <w:szCs w:val="24"/>
        </w:rPr>
        <w:t>Relationships Between Dual Enrollment and Completion Rates at a</w:t>
      </w:r>
      <w:r w:rsidR="00930352">
        <w:rPr>
          <w:rFonts w:cs="Times New Roman"/>
          <w:szCs w:val="24"/>
        </w:rPr>
        <w:t xml:space="preserve"> </w:t>
      </w:r>
      <w:r w:rsidR="00CD1665">
        <w:rPr>
          <w:rFonts w:cs="Times New Roman"/>
          <w:szCs w:val="24"/>
        </w:rPr>
        <w:t>Tennessee</w:t>
      </w:r>
      <w:r w:rsidR="00930352">
        <w:rPr>
          <w:rFonts w:cs="Times New Roman"/>
          <w:szCs w:val="24"/>
        </w:rPr>
        <w:t xml:space="preserve"> </w:t>
      </w:r>
      <w:r>
        <w:rPr>
          <w:rFonts w:cs="Times New Roman"/>
          <w:szCs w:val="24"/>
        </w:rPr>
        <w:t>Community College</w:t>
      </w:r>
    </w:p>
    <w:p w14:paraId="14A6207B" w14:textId="77777777" w:rsidR="00631C37" w:rsidRPr="008E0165" w:rsidRDefault="00631C37" w:rsidP="00631C37">
      <w:pPr>
        <w:jc w:val="center"/>
        <w:rPr>
          <w:rFonts w:cs="Times New Roman"/>
          <w:szCs w:val="24"/>
        </w:rPr>
      </w:pPr>
      <w:r w:rsidRPr="008E0165">
        <w:rPr>
          <w:rFonts w:cs="Times New Roman"/>
          <w:szCs w:val="24"/>
        </w:rPr>
        <w:t>by</w:t>
      </w:r>
    </w:p>
    <w:p w14:paraId="4438D8CA" w14:textId="77777777" w:rsidR="00631C37" w:rsidRDefault="00026EAC" w:rsidP="00631C37">
      <w:pPr>
        <w:jc w:val="center"/>
        <w:rPr>
          <w:rFonts w:cs="Times New Roman"/>
          <w:szCs w:val="24"/>
        </w:rPr>
      </w:pPr>
      <w:r>
        <w:rPr>
          <w:rFonts w:cs="Times New Roman"/>
          <w:szCs w:val="24"/>
        </w:rPr>
        <w:t>Misty N. Peters</w:t>
      </w:r>
    </w:p>
    <w:p w14:paraId="3B793726" w14:textId="77777777" w:rsidR="00630023" w:rsidRDefault="00630023" w:rsidP="00112CD8">
      <w:pPr>
        <w:rPr>
          <w:rFonts w:cs="Times New Roman"/>
          <w:color w:val="000000" w:themeColor="text1"/>
          <w:spacing w:val="3"/>
          <w:szCs w:val="24"/>
        </w:rPr>
      </w:pPr>
    </w:p>
    <w:p w14:paraId="66BC029C" w14:textId="12D23A0D" w:rsidR="00630023" w:rsidRDefault="00630023" w:rsidP="00112CD8">
      <w:pPr>
        <w:rPr>
          <w:rFonts w:eastAsia="Times New Roman" w:cs="Times New Roman"/>
          <w:color w:val="000000" w:themeColor="text1"/>
          <w:spacing w:val="3"/>
          <w:szCs w:val="24"/>
        </w:rPr>
      </w:pPr>
      <w:r>
        <w:rPr>
          <w:rFonts w:eastAsia="Times New Roman" w:cs="Times New Roman"/>
          <w:color w:val="000000" w:themeColor="text1"/>
          <w:spacing w:val="3"/>
          <w:szCs w:val="24"/>
        </w:rPr>
        <w:t xml:space="preserve">The purpose of this quantitative study was to determine if there </w:t>
      </w:r>
      <w:r w:rsidR="002C38B4">
        <w:rPr>
          <w:rFonts w:eastAsia="Times New Roman" w:cs="Times New Roman"/>
          <w:color w:val="000000" w:themeColor="text1"/>
          <w:spacing w:val="3"/>
          <w:szCs w:val="24"/>
        </w:rPr>
        <w:t>w</w:t>
      </w:r>
      <w:r w:rsidR="006A1CCA">
        <w:rPr>
          <w:rFonts w:eastAsia="Times New Roman" w:cs="Times New Roman"/>
          <w:color w:val="000000" w:themeColor="text1"/>
          <w:spacing w:val="3"/>
          <w:szCs w:val="24"/>
        </w:rPr>
        <w:t>as a</w:t>
      </w:r>
      <w:r>
        <w:rPr>
          <w:rFonts w:eastAsia="Times New Roman" w:cs="Times New Roman"/>
          <w:color w:val="000000" w:themeColor="text1"/>
          <w:spacing w:val="3"/>
          <w:szCs w:val="24"/>
        </w:rPr>
        <w:t xml:space="preserve"> relationship between dual enrollment and completion rates at a Tennessee community college. </w:t>
      </w:r>
      <w:r w:rsidRPr="00A866B8">
        <w:rPr>
          <w:rFonts w:cs="Times New Roman"/>
          <w:color w:val="000000" w:themeColor="text1"/>
          <w:spacing w:val="3"/>
          <w:szCs w:val="24"/>
        </w:rPr>
        <w:t>Subgroups include</w:t>
      </w:r>
      <w:r>
        <w:rPr>
          <w:rFonts w:cs="Times New Roman"/>
          <w:color w:val="000000" w:themeColor="text1"/>
          <w:spacing w:val="3"/>
          <w:szCs w:val="24"/>
        </w:rPr>
        <w:t>d</w:t>
      </w:r>
      <w:r w:rsidRPr="00A866B8">
        <w:rPr>
          <w:rFonts w:cs="Times New Roman"/>
          <w:color w:val="000000" w:themeColor="text1"/>
          <w:spacing w:val="3"/>
          <w:szCs w:val="24"/>
        </w:rPr>
        <w:t xml:space="preserve"> dual enrollment completion versus non-dual enrollment completion, </w:t>
      </w:r>
      <w:r>
        <w:rPr>
          <w:rFonts w:cs="Times New Roman"/>
          <w:color w:val="000000" w:themeColor="text1"/>
          <w:spacing w:val="3"/>
          <w:szCs w:val="24"/>
        </w:rPr>
        <w:t>grade point average (</w:t>
      </w:r>
      <w:r w:rsidRPr="00A866B8">
        <w:rPr>
          <w:rFonts w:cs="Times New Roman"/>
          <w:color w:val="000000" w:themeColor="text1"/>
          <w:spacing w:val="3"/>
          <w:szCs w:val="24"/>
        </w:rPr>
        <w:t>GPA</w:t>
      </w:r>
      <w:r>
        <w:rPr>
          <w:rFonts w:cs="Times New Roman"/>
          <w:color w:val="000000" w:themeColor="text1"/>
          <w:spacing w:val="3"/>
          <w:szCs w:val="24"/>
        </w:rPr>
        <w:t>)</w:t>
      </w:r>
      <w:r w:rsidRPr="00A866B8">
        <w:rPr>
          <w:rFonts w:cs="Times New Roman"/>
          <w:color w:val="000000" w:themeColor="text1"/>
          <w:spacing w:val="3"/>
          <w:szCs w:val="24"/>
        </w:rPr>
        <w:t>,</w:t>
      </w:r>
      <w:r w:rsidRPr="00127357">
        <w:rPr>
          <w:rFonts w:cs="Times New Roman"/>
          <w:color w:val="000000" w:themeColor="text1"/>
          <w:spacing w:val="3"/>
          <w:szCs w:val="24"/>
        </w:rPr>
        <w:t xml:space="preserve"> enrollment status (part-time or full-time</w:t>
      </w:r>
      <w:r>
        <w:rPr>
          <w:rFonts w:cs="Times New Roman"/>
          <w:color w:val="000000" w:themeColor="text1"/>
          <w:spacing w:val="3"/>
          <w:szCs w:val="24"/>
        </w:rPr>
        <w:t>)</w:t>
      </w:r>
      <w:r w:rsidRPr="00127357">
        <w:rPr>
          <w:rFonts w:cs="Times New Roman"/>
          <w:color w:val="000000" w:themeColor="text1"/>
          <w:spacing w:val="3"/>
          <w:szCs w:val="24"/>
        </w:rPr>
        <w:t>, retention rate (</w:t>
      </w:r>
      <w:r>
        <w:rPr>
          <w:rFonts w:cs="Times New Roman"/>
          <w:color w:val="000000" w:themeColor="text1"/>
          <w:spacing w:val="3"/>
          <w:szCs w:val="24"/>
        </w:rPr>
        <w:t>f</w:t>
      </w:r>
      <w:r w:rsidRPr="00127357">
        <w:rPr>
          <w:rFonts w:cs="Times New Roman"/>
          <w:color w:val="000000" w:themeColor="text1"/>
          <w:spacing w:val="3"/>
          <w:szCs w:val="24"/>
        </w:rPr>
        <w:t xml:space="preserve">all to </w:t>
      </w:r>
      <w:r>
        <w:rPr>
          <w:rFonts w:cs="Times New Roman"/>
          <w:color w:val="000000" w:themeColor="text1"/>
          <w:spacing w:val="3"/>
          <w:szCs w:val="24"/>
        </w:rPr>
        <w:t>s</w:t>
      </w:r>
      <w:r w:rsidRPr="00127357">
        <w:rPr>
          <w:rFonts w:cs="Times New Roman"/>
          <w:color w:val="000000" w:themeColor="text1"/>
          <w:spacing w:val="3"/>
          <w:szCs w:val="24"/>
        </w:rPr>
        <w:t>pring), retention rate (</w:t>
      </w:r>
      <w:r>
        <w:rPr>
          <w:rFonts w:cs="Times New Roman"/>
          <w:color w:val="000000" w:themeColor="text1"/>
          <w:spacing w:val="3"/>
          <w:szCs w:val="24"/>
        </w:rPr>
        <w:t>f</w:t>
      </w:r>
      <w:r w:rsidRPr="00127357">
        <w:rPr>
          <w:rFonts w:cs="Times New Roman"/>
          <w:color w:val="000000" w:themeColor="text1"/>
          <w:spacing w:val="3"/>
          <w:szCs w:val="24"/>
        </w:rPr>
        <w:t xml:space="preserve">all to </w:t>
      </w:r>
      <w:r>
        <w:rPr>
          <w:rFonts w:cs="Times New Roman"/>
          <w:color w:val="000000" w:themeColor="text1"/>
          <w:spacing w:val="3"/>
          <w:szCs w:val="24"/>
        </w:rPr>
        <w:t>f</w:t>
      </w:r>
      <w:r w:rsidRPr="00127357">
        <w:rPr>
          <w:rFonts w:cs="Times New Roman"/>
          <w:color w:val="000000" w:themeColor="text1"/>
          <w:spacing w:val="3"/>
          <w:szCs w:val="24"/>
        </w:rPr>
        <w:t>all), academic credits (30 or more semester credits)</w:t>
      </w:r>
      <w:r>
        <w:rPr>
          <w:rFonts w:cs="Times New Roman"/>
          <w:color w:val="000000" w:themeColor="text1"/>
          <w:spacing w:val="3"/>
          <w:szCs w:val="24"/>
        </w:rPr>
        <w:t>,</w:t>
      </w:r>
      <w:r w:rsidRPr="00127357">
        <w:rPr>
          <w:rFonts w:cs="Times New Roman"/>
          <w:color w:val="000000" w:themeColor="text1"/>
          <w:spacing w:val="3"/>
          <w:szCs w:val="24"/>
        </w:rPr>
        <w:t xml:space="preserve"> and academic credits (number earned at the end of their freshman year).</w:t>
      </w:r>
      <w:r>
        <w:rPr>
          <w:rFonts w:cs="Times New Roman"/>
          <w:color w:val="000000" w:themeColor="text1"/>
          <w:spacing w:val="3"/>
          <w:szCs w:val="24"/>
        </w:rPr>
        <w:t xml:space="preserve"> </w:t>
      </w:r>
    </w:p>
    <w:p w14:paraId="19B30615" w14:textId="77777777" w:rsidR="00630023" w:rsidRDefault="00630023" w:rsidP="00112CD8">
      <w:pPr>
        <w:rPr>
          <w:rFonts w:cs="Times New Roman"/>
          <w:color w:val="000000" w:themeColor="text1"/>
          <w:spacing w:val="3"/>
          <w:szCs w:val="24"/>
        </w:rPr>
      </w:pPr>
    </w:p>
    <w:p w14:paraId="2C27629C" w14:textId="27F10D1A" w:rsidR="00631C37" w:rsidRPr="00696FF6" w:rsidRDefault="002C38B4" w:rsidP="00696FF6">
      <w:pPr>
        <w:rPr>
          <w:rFonts w:cs="Times New Roman"/>
          <w:color w:val="000000" w:themeColor="text1"/>
          <w:spacing w:val="3"/>
          <w:szCs w:val="24"/>
        </w:rPr>
      </w:pPr>
      <w:r>
        <w:rPr>
          <w:rFonts w:eastAsia="Times New Roman" w:cs="Times New Roman"/>
          <w:color w:val="000000" w:themeColor="text1"/>
          <w:spacing w:val="3"/>
          <w:szCs w:val="24"/>
        </w:rPr>
        <w:t xml:space="preserve">Archival data were used from a Tennessee community college governed by the Tennessee Board of Regents and </w:t>
      </w:r>
      <w:r w:rsidR="00630023">
        <w:rPr>
          <w:rFonts w:cs="Times New Roman"/>
          <w:color w:val="000000" w:themeColor="text1"/>
          <w:spacing w:val="3"/>
          <w:szCs w:val="24"/>
        </w:rPr>
        <w:t>included</w:t>
      </w:r>
      <w:r w:rsidR="00E373A4">
        <w:rPr>
          <w:rFonts w:cs="Times New Roman"/>
          <w:color w:val="000000" w:themeColor="text1"/>
          <w:spacing w:val="3"/>
          <w:szCs w:val="24"/>
        </w:rPr>
        <w:t xml:space="preserve"> cohorts from 2017 through 2021, which comprised 6,969 students. Graduation was measured by completion of an associate degree or certificate within</w:t>
      </w:r>
      <w:r w:rsidR="00870399">
        <w:rPr>
          <w:rFonts w:cs="Times New Roman"/>
          <w:color w:val="000000" w:themeColor="text1"/>
          <w:spacing w:val="3"/>
          <w:szCs w:val="24"/>
        </w:rPr>
        <w:t xml:space="preserve"> 3 years (150%)</w:t>
      </w:r>
      <w:r w:rsidR="00E373A4">
        <w:rPr>
          <w:rFonts w:cs="Times New Roman"/>
          <w:color w:val="000000" w:themeColor="text1"/>
          <w:spacing w:val="3"/>
          <w:szCs w:val="24"/>
        </w:rPr>
        <w:t>.</w:t>
      </w:r>
      <w:r w:rsidR="00630023">
        <w:rPr>
          <w:rFonts w:cs="Times New Roman"/>
          <w:color w:val="000000" w:themeColor="text1"/>
          <w:spacing w:val="3"/>
          <w:szCs w:val="24"/>
        </w:rPr>
        <w:t xml:space="preserve"> </w:t>
      </w:r>
      <w:r w:rsidR="00630023">
        <w:rPr>
          <w:rFonts w:cs="Times New Roman"/>
        </w:rPr>
        <w:t xml:space="preserve">Because high school students must have a GPA of 3.0 to 4.0 and an ACT of 21 or greater to be eligible for dual enrollment, only students that met the criteria for dual </w:t>
      </w:r>
      <w:r w:rsidR="00630023" w:rsidRPr="00C65CFA">
        <w:rPr>
          <w:rFonts w:cs="Times New Roman"/>
        </w:rPr>
        <w:t xml:space="preserve">enrollment while in high school were included in the final sample. </w:t>
      </w:r>
      <w:r w:rsidR="00696FF6" w:rsidRPr="00C65CFA">
        <w:rPr>
          <w:rFonts w:cs="Times New Roman"/>
        </w:rPr>
        <w:t xml:space="preserve">A total of 2,078 students met the study criteria for inclusion. </w:t>
      </w:r>
      <w:r w:rsidR="00630023" w:rsidRPr="00C65CFA">
        <w:rPr>
          <w:rFonts w:cs="Times New Roman"/>
        </w:rPr>
        <w:t xml:space="preserve">Seven research questions were answered from these data utilizing </w:t>
      </w:r>
      <w:r w:rsidRPr="00C65CFA">
        <w:rPr>
          <w:rFonts w:cs="Times New Roman"/>
        </w:rPr>
        <w:t xml:space="preserve">chi-square analysis and independent samples </w:t>
      </w:r>
      <w:r w:rsidRPr="00C65CFA">
        <w:rPr>
          <w:rFonts w:cs="Times New Roman"/>
          <w:i/>
          <w:iCs/>
        </w:rPr>
        <w:t>t</w:t>
      </w:r>
      <w:r w:rsidRPr="00C65CFA">
        <w:rPr>
          <w:rFonts w:cs="Times New Roman"/>
        </w:rPr>
        <w:t xml:space="preserve"> tests</w:t>
      </w:r>
      <w:r w:rsidR="00630023" w:rsidRPr="00C65CFA">
        <w:rPr>
          <w:rFonts w:cs="Times New Roman"/>
        </w:rPr>
        <w:t xml:space="preserve">. Findings revealed that </w:t>
      </w:r>
      <w:r w:rsidR="00260919" w:rsidRPr="00C65CFA">
        <w:rPr>
          <w:rFonts w:cs="Times New Roman"/>
        </w:rPr>
        <w:t xml:space="preserve">students who completed at least one dual enrollment course were more likely to graduate than students who did not participate in dual enrollment. </w:t>
      </w:r>
      <w:r w:rsidR="00C65CFA" w:rsidRPr="00C65CFA">
        <w:t>The</w:t>
      </w:r>
      <w:r w:rsidR="00C65CFA">
        <w:t xml:space="preserve"> findings in this study indicate there is a significant </w:t>
      </w:r>
      <w:r w:rsidR="00C65CFA">
        <w:lastRenderedPageBreak/>
        <w:t xml:space="preserve">relationship between taking dual enrollment and educational outcomes. Students who participated in dual enrollment were more likely to </w:t>
      </w:r>
      <w:r w:rsidR="00C65CFA">
        <w:rPr>
          <w:rFonts w:cs="Times New Roman"/>
        </w:rPr>
        <w:t>graduate within 3 years (150%), have higher end of year one GPAs, have full-time enrollment, have greater retention rates with the exception of fall to fall, and obtain higher academic credits.</w:t>
      </w:r>
      <w:bookmarkEnd w:id="3"/>
      <w:r w:rsidR="00631C37">
        <w:rPr>
          <w:rFonts w:cs="Times New Roman"/>
          <w:szCs w:val="24"/>
        </w:rPr>
        <w:br w:type="page"/>
      </w:r>
    </w:p>
    <w:p w14:paraId="7DFEBEB4" w14:textId="77777777" w:rsidR="00631C37" w:rsidRDefault="00631C37" w:rsidP="00631C37">
      <w:pPr>
        <w:rPr>
          <w:rFonts w:eastAsia="Times New Roman" w:cs="Times New Roman"/>
        </w:rPr>
      </w:pPr>
    </w:p>
    <w:p w14:paraId="30E6FCE6" w14:textId="77777777" w:rsidR="00631C37" w:rsidRDefault="00631C37" w:rsidP="00631C37">
      <w:pPr>
        <w:rPr>
          <w:rFonts w:eastAsia="Times New Roman" w:cs="Times New Roman"/>
        </w:rPr>
      </w:pPr>
    </w:p>
    <w:p w14:paraId="2880C09F" w14:textId="77777777" w:rsidR="00631C37" w:rsidRDefault="00631C37" w:rsidP="00631C37">
      <w:pPr>
        <w:rPr>
          <w:rFonts w:eastAsia="Times New Roman" w:cs="Times New Roman"/>
        </w:rPr>
      </w:pPr>
    </w:p>
    <w:p w14:paraId="6E6A6F06" w14:textId="77777777" w:rsidR="00631C37" w:rsidRDefault="00631C37" w:rsidP="00631C37">
      <w:pPr>
        <w:rPr>
          <w:rFonts w:eastAsia="Times New Roman" w:cs="Times New Roman"/>
        </w:rPr>
      </w:pPr>
    </w:p>
    <w:p w14:paraId="04321C2A" w14:textId="77777777" w:rsidR="00631C37" w:rsidRDefault="00631C37" w:rsidP="00631C37">
      <w:pPr>
        <w:rPr>
          <w:rFonts w:eastAsia="Times New Roman" w:cs="Times New Roman"/>
        </w:rPr>
      </w:pPr>
    </w:p>
    <w:p w14:paraId="116F28CA" w14:textId="77777777" w:rsidR="00631C37" w:rsidRDefault="00631C37" w:rsidP="00631C37">
      <w:pPr>
        <w:rPr>
          <w:rFonts w:eastAsia="Times New Roman" w:cs="Times New Roman"/>
        </w:rPr>
      </w:pPr>
    </w:p>
    <w:p w14:paraId="707C8354" w14:textId="77777777" w:rsidR="00631C37" w:rsidRDefault="00631C37" w:rsidP="00631C37">
      <w:pPr>
        <w:rPr>
          <w:rFonts w:eastAsia="Times New Roman" w:cs="Times New Roman"/>
        </w:rPr>
      </w:pPr>
    </w:p>
    <w:p w14:paraId="73C72553" w14:textId="77777777" w:rsidR="00631C37" w:rsidRDefault="00631C37" w:rsidP="00631C37">
      <w:pPr>
        <w:rPr>
          <w:rFonts w:eastAsia="Times New Roman" w:cs="Times New Roman"/>
        </w:rPr>
      </w:pPr>
    </w:p>
    <w:p w14:paraId="39EFCC13" w14:textId="77777777" w:rsidR="00631C37" w:rsidRDefault="00631C37" w:rsidP="00631C37">
      <w:pPr>
        <w:rPr>
          <w:rFonts w:eastAsia="Times New Roman" w:cs="Times New Roman"/>
        </w:rPr>
      </w:pPr>
    </w:p>
    <w:p w14:paraId="3F74D689" w14:textId="77777777" w:rsidR="00631C37" w:rsidRDefault="00631C37" w:rsidP="00631C37">
      <w:pPr>
        <w:rPr>
          <w:rFonts w:eastAsia="Times New Roman" w:cs="Times New Roman"/>
        </w:rPr>
      </w:pPr>
    </w:p>
    <w:p w14:paraId="00571340" w14:textId="3BEA7D15" w:rsidR="00631C37" w:rsidRPr="00513C1E" w:rsidRDefault="00631C37" w:rsidP="00631C37">
      <w:pPr>
        <w:jc w:val="center"/>
      </w:pPr>
      <w:r w:rsidRPr="00513C1E">
        <w:t>Copyright 20</w:t>
      </w:r>
      <w:r w:rsidR="00026EAC">
        <w:t>2</w:t>
      </w:r>
      <w:r w:rsidR="00451F77">
        <w:t>6</w:t>
      </w:r>
      <w:r w:rsidRPr="00513C1E">
        <w:t xml:space="preserve"> by </w:t>
      </w:r>
      <w:r w:rsidR="00026EAC">
        <w:t>Misty N. Peters</w:t>
      </w:r>
    </w:p>
    <w:p w14:paraId="278A2AAF" w14:textId="77777777" w:rsidR="00631C37" w:rsidRDefault="00631C37" w:rsidP="00631C37">
      <w:pPr>
        <w:jc w:val="center"/>
      </w:pPr>
      <w:r w:rsidRPr="00513C1E">
        <w:t>All Rights Reserved</w:t>
      </w:r>
    </w:p>
    <w:p w14:paraId="7A944A66" w14:textId="77777777" w:rsidR="00631C37" w:rsidRDefault="00631C37">
      <w:pPr>
        <w:rPr>
          <w:rFonts w:eastAsia="Times New Roman" w:cs="Times New Roman"/>
        </w:rPr>
      </w:pPr>
      <w:r>
        <w:rPr>
          <w:rFonts w:eastAsia="Times New Roman" w:cs="Times New Roman"/>
        </w:rPr>
        <w:br w:type="page"/>
      </w:r>
    </w:p>
    <w:p w14:paraId="7CF4E4D7" w14:textId="77777777" w:rsidR="00283A2B" w:rsidRDefault="00283A2B" w:rsidP="00283A2B">
      <w:pPr>
        <w:pStyle w:val="Heading1"/>
        <w:rPr>
          <w:rFonts w:cstheme="minorHAnsi"/>
          <w:color w:val="000000"/>
          <w:szCs w:val="24"/>
        </w:rPr>
      </w:pPr>
      <w:bookmarkStart w:id="5" w:name="_Toc204344620"/>
      <w:bookmarkStart w:id="6" w:name="_Toc204345118"/>
      <w:bookmarkStart w:id="7" w:name="_Toc224458876"/>
      <w:r w:rsidRPr="005C6F1C">
        <w:lastRenderedPageBreak/>
        <w:t xml:space="preserve">Generative Artificial Intelligence </w:t>
      </w:r>
      <w:r>
        <w:t>Disclosure</w:t>
      </w:r>
      <w:bookmarkEnd w:id="5"/>
      <w:bookmarkEnd w:id="6"/>
      <w:bookmarkEnd w:id="7"/>
    </w:p>
    <w:p w14:paraId="36EC7360" w14:textId="77777777" w:rsidR="00283A2B" w:rsidRDefault="00283A2B" w:rsidP="00283A2B">
      <w:pPr>
        <w:autoSpaceDE w:val="0"/>
        <w:autoSpaceDN w:val="0"/>
        <w:adjustRightInd w:val="0"/>
        <w:rPr>
          <w:rFonts w:cstheme="minorHAnsi"/>
          <w:b/>
          <w:bCs/>
          <w:color w:val="000000"/>
          <w:szCs w:val="24"/>
        </w:rPr>
      </w:pPr>
    </w:p>
    <w:p w14:paraId="28130357" w14:textId="299B7CEF" w:rsidR="00283A2B" w:rsidRDefault="00283A2B" w:rsidP="00283A2B">
      <w:pPr>
        <w:autoSpaceDE w:val="0"/>
        <w:autoSpaceDN w:val="0"/>
        <w:adjustRightInd w:val="0"/>
        <w:rPr>
          <w:rFonts w:cstheme="minorHAnsi"/>
          <w:color w:val="000000"/>
          <w:szCs w:val="24"/>
        </w:rPr>
      </w:pPr>
      <w:r w:rsidRPr="005C6F1C">
        <w:rPr>
          <w:rFonts w:cstheme="minorHAnsi"/>
          <w:color w:val="000000"/>
          <w:szCs w:val="24"/>
        </w:rPr>
        <w:t>Generative Artificial Intelligence (GAI) tools, including</w:t>
      </w:r>
      <w:r w:rsidR="00C65CFA">
        <w:rPr>
          <w:rFonts w:cstheme="minorHAnsi"/>
          <w:color w:val="000000"/>
          <w:szCs w:val="24"/>
        </w:rPr>
        <w:t xml:space="preserve"> Copilot Chat</w:t>
      </w:r>
      <w:r w:rsidRPr="005C6F1C">
        <w:rPr>
          <w:rFonts w:cstheme="minorHAnsi"/>
          <w:color w:val="000000"/>
          <w:szCs w:val="24"/>
        </w:rPr>
        <w:t>, were utilized in this</w:t>
      </w:r>
      <w:r w:rsidR="00C65CFA">
        <w:rPr>
          <w:rFonts w:cstheme="minorHAnsi"/>
          <w:color w:val="000000"/>
          <w:szCs w:val="24"/>
        </w:rPr>
        <w:t xml:space="preserve"> </w:t>
      </w:r>
      <w:r w:rsidRPr="005C6F1C">
        <w:rPr>
          <w:rFonts w:cstheme="minorHAnsi"/>
          <w:color w:val="000000"/>
          <w:szCs w:val="24"/>
        </w:rPr>
        <w:t>dissertation fo</w:t>
      </w:r>
      <w:r w:rsidR="00C65CFA">
        <w:rPr>
          <w:rFonts w:cstheme="minorHAnsi"/>
          <w:color w:val="000000"/>
          <w:szCs w:val="24"/>
        </w:rPr>
        <w:t>r the plain language abstract</w:t>
      </w:r>
      <w:r w:rsidRPr="005C6F1C">
        <w:rPr>
          <w:rFonts w:cstheme="minorHAnsi"/>
          <w:color w:val="000000"/>
          <w:szCs w:val="24"/>
        </w:rPr>
        <w:t>. While AI-generated outputs were reviewed for accuracy, relevance, and integrity to align with academic standards, I am responsible for the integrity, originality, and academic validity of this scholarly work.</w:t>
      </w:r>
    </w:p>
    <w:p w14:paraId="7C73F5CC" w14:textId="77777777" w:rsidR="00283A2B" w:rsidRDefault="00283A2B" w:rsidP="00283A2B">
      <w:pPr>
        <w:spacing w:after="160" w:line="259" w:lineRule="auto"/>
        <w:rPr>
          <w:rFonts w:eastAsiaTheme="majorEastAsia" w:cstheme="majorBidi"/>
          <w:caps/>
          <w:color w:val="000000" w:themeColor="text1"/>
          <w:szCs w:val="32"/>
        </w:rPr>
      </w:pPr>
    </w:p>
    <w:p w14:paraId="1DEF35EF" w14:textId="5619B131" w:rsidR="00283A2B" w:rsidRPr="00FD51D0" w:rsidRDefault="00283A2B" w:rsidP="00FD51D0">
      <w:pPr>
        <w:spacing w:after="160" w:line="259" w:lineRule="auto"/>
        <w:rPr>
          <w:rFonts w:eastAsiaTheme="majorEastAsia" w:cstheme="majorBidi"/>
          <w:caps/>
          <w:color w:val="000000" w:themeColor="text1"/>
          <w:szCs w:val="32"/>
        </w:rPr>
      </w:pPr>
      <w:r>
        <w:br w:type="page"/>
      </w:r>
    </w:p>
    <w:p w14:paraId="25F71694" w14:textId="5E2DCBC5" w:rsidR="00631C37" w:rsidRDefault="00631C37" w:rsidP="00631C37">
      <w:pPr>
        <w:pStyle w:val="Heading1"/>
      </w:pPr>
      <w:bookmarkStart w:id="8" w:name="_Toc224458877"/>
      <w:r>
        <w:lastRenderedPageBreak/>
        <w:t>dedication</w:t>
      </w:r>
      <w:bookmarkEnd w:id="8"/>
    </w:p>
    <w:p w14:paraId="1329F86C" w14:textId="145EAA29" w:rsidR="00631C37" w:rsidRDefault="006F0916" w:rsidP="00631C37">
      <w:pPr>
        <w:ind w:firstLine="720"/>
      </w:pPr>
      <w:r>
        <w:t>I dedicate this to my family and friends who supported and encouraged me along the way. I appreciate and love you more than you will ever know.</w:t>
      </w:r>
    </w:p>
    <w:p w14:paraId="4C2BF3BE" w14:textId="77777777" w:rsidR="00631C37" w:rsidRDefault="00631C37">
      <w:pPr>
        <w:spacing w:after="160" w:line="259" w:lineRule="auto"/>
      </w:pPr>
      <w:r>
        <w:br w:type="page"/>
      </w:r>
    </w:p>
    <w:p w14:paraId="4D3295D1" w14:textId="77777777" w:rsidR="00631C37" w:rsidRPr="00631C37" w:rsidRDefault="00631C37" w:rsidP="00631C37">
      <w:pPr>
        <w:pStyle w:val="Heading1"/>
      </w:pPr>
      <w:bookmarkStart w:id="9" w:name="_Toc224458878"/>
      <w:r>
        <w:lastRenderedPageBreak/>
        <w:t>acknowledgements</w:t>
      </w:r>
      <w:bookmarkEnd w:id="9"/>
    </w:p>
    <w:p w14:paraId="34A90C78" w14:textId="4ACBC006" w:rsidR="006F0916" w:rsidRDefault="006F0916" w:rsidP="00631C37">
      <w:pPr>
        <w:ind w:firstLine="720"/>
      </w:pPr>
      <w:r>
        <w:t xml:space="preserve">First and foremost, I would like to </w:t>
      </w:r>
      <w:r w:rsidR="00BD1848">
        <w:t>thank God. Without Him, no</w:t>
      </w:r>
      <w:r w:rsidR="00540B6A">
        <w:t>ne of this</w:t>
      </w:r>
      <w:r w:rsidR="00BD1848">
        <w:t xml:space="preserve"> would </w:t>
      </w:r>
      <w:r w:rsidR="00540B6A">
        <w:t>have been</w:t>
      </w:r>
      <w:r w:rsidR="00BD1848">
        <w:t xml:space="preserve"> possible.</w:t>
      </w:r>
    </w:p>
    <w:p w14:paraId="3F86690F" w14:textId="77777777" w:rsidR="006F0916" w:rsidRDefault="006F0916" w:rsidP="00631C37">
      <w:pPr>
        <w:ind w:firstLine="720"/>
      </w:pPr>
      <w:r>
        <w:t>I would like to express my sincere gratitude to my research committee, Dr. Jill Channing (chair), Dr. James Lampley, and Dr. Don Good for their guidance, encouragement, and insightful feedback throughout this research.</w:t>
      </w:r>
    </w:p>
    <w:p w14:paraId="28AA4BF1" w14:textId="03A296A7" w:rsidR="00631C37" w:rsidRDefault="006F0916" w:rsidP="00631C37">
      <w:pPr>
        <w:ind w:firstLine="720"/>
      </w:pPr>
      <w:r>
        <w:t xml:space="preserve">Finally, I </w:t>
      </w:r>
      <w:r w:rsidR="00BD1848">
        <w:t>would like to express my deepest appreciation to my family and friends for their unwavering support, encouragement, and understanding throughout this demanding process.</w:t>
      </w:r>
      <w:r>
        <w:t xml:space="preserve"> </w:t>
      </w:r>
    </w:p>
    <w:p w14:paraId="28302E4D" w14:textId="77777777" w:rsidR="00631C37" w:rsidRDefault="00631C37">
      <w:pPr>
        <w:spacing w:after="160" w:line="259" w:lineRule="auto"/>
      </w:pPr>
      <w:r>
        <w:br w:type="page"/>
      </w:r>
    </w:p>
    <w:p w14:paraId="5B6CF9F7" w14:textId="77777777" w:rsidR="004C5331" w:rsidRDefault="004C5331" w:rsidP="00E614B2">
      <w:pPr>
        <w:jc w:val="center"/>
      </w:pPr>
      <w:r>
        <w:lastRenderedPageBreak/>
        <w:t>TABLE OF CONTENTS</w:t>
      </w:r>
    </w:p>
    <w:p w14:paraId="6B083FE0" w14:textId="119099BF" w:rsidR="00617B86" w:rsidRDefault="0055022F">
      <w:pPr>
        <w:pStyle w:val="TOC1"/>
        <w:tabs>
          <w:tab w:val="right" w:leader="dot" w:pos="9350"/>
        </w:tabs>
        <w:rPr>
          <w:rFonts w:asciiTheme="minorHAnsi" w:eastAsiaTheme="minorEastAsia" w:hAnsiTheme="minorHAnsi"/>
          <w:caps w:val="0"/>
          <w:noProof/>
          <w:sz w:val="22"/>
        </w:rPr>
      </w:pPr>
      <w:r>
        <w:fldChar w:fldCharType="begin"/>
      </w:r>
      <w:r>
        <w:instrText xml:space="preserve"> TOC \o "1-6" \h \z \u </w:instrText>
      </w:r>
      <w:r>
        <w:fldChar w:fldCharType="separate"/>
      </w:r>
      <w:hyperlink w:anchor="_Toc224458874" w:history="1">
        <w:r w:rsidR="00617B86" w:rsidRPr="005C0FB4">
          <w:rPr>
            <w:rStyle w:val="Hyperlink"/>
            <w:noProof/>
          </w:rPr>
          <w:t>plain language abstract</w:t>
        </w:r>
        <w:r w:rsidR="00617B86">
          <w:rPr>
            <w:noProof/>
            <w:webHidden/>
          </w:rPr>
          <w:tab/>
        </w:r>
        <w:r w:rsidR="00617B86">
          <w:rPr>
            <w:noProof/>
            <w:webHidden/>
          </w:rPr>
          <w:fldChar w:fldCharType="begin"/>
        </w:r>
        <w:r w:rsidR="00617B86">
          <w:rPr>
            <w:noProof/>
            <w:webHidden/>
          </w:rPr>
          <w:instrText xml:space="preserve"> PAGEREF _Toc224458874 \h </w:instrText>
        </w:r>
        <w:r w:rsidR="00617B86">
          <w:rPr>
            <w:noProof/>
            <w:webHidden/>
          </w:rPr>
        </w:r>
        <w:r w:rsidR="00617B86">
          <w:rPr>
            <w:noProof/>
            <w:webHidden/>
          </w:rPr>
          <w:fldChar w:fldCharType="separate"/>
        </w:r>
        <w:r w:rsidR="00617B86">
          <w:rPr>
            <w:noProof/>
            <w:webHidden/>
          </w:rPr>
          <w:t>2</w:t>
        </w:r>
        <w:r w:rsidR="00617B86">
          <w:rPr>
            <w:noProof/>
            <w:webHidden/>
          </w:rPr>
          <w:fldChar w:fldCharType="end"/>
        </w:r>
      </w:hyperlink>
    </w:p>
    <w:p w14:paraId="36877195" w14:textId="7CFD0731" w:rsidR="00617B86" w:rsidRDefault="00617B86">
      <w:pPr>
        <w:pStyle w:val="TOC1"/>
        <w:tabs>
          <w:tab w:val="right" w:leader="dot" w:pos="9350"/>
        </w:tabs>
        <w:rPr>
          <w:rFonts w:asciiTheme="minorHAnsi" w:eastAsiaTheme="minorEastAsia" w:hAnsiTheme="minorHAnsi"/>
          <w:caps w:val="0"/>
          <w:noProof/>
          <w:sz w:val="22"/>
        </w:rPr>
      </w:pPr>
      <w:hyperlink w:anchor="_Toc224458875" w:history="1">
        <w:r w:rsidRPr="005C0FB4">
          <w:rPr>
            <w:rStyle w:val="Hyperlink"/>
            <w:noProof/>
          </w:rPr>
          <w:t>ABSTRACT</w:t>
        </w:r>
        <w:r>
          <w:rPr>
            <w:noProof/>
            <w:webHidden/>
          </w:rPr>
          <w:tab/>
        </w:r>
        <w:r>
          <w:rPr>
            <w:noProof/>
            <w:webHidden/>
          </w:rPr>
          <w:fldChar w:fldCharType="begin"/>
        </w:r>
        <w:r>
          <w:rPr>
            <w:noProof/>
            <w:webHidden/>
          </w:rPr>
          <w:instrText xml:space="preserve"> PAGEREF _Toc224458875 \h </w:instrText>
        </w:r>
        <w:r>
          <w:rPr>
            <w:noProof/>
            <w:webHidden/>
          </w:rPr>
        </w:r>
        <w:r>
          <w:rPr>
            <w:noProof/>
            <w:webHidden/>
          </w:rPr>
          <w:fldChar w:fldCharType="separate"/>
        </w:r>
        <w:r>
          <w:rPr>
            <w:noProof/>
            <w:webHidden/>
          </w:rPr>
          <w:t>4</w:t>
        </w:r>
        <w:r>
          <w:rPr>
            <w:noProof/>
            <w:webHidden/>
          </w:rPr>
          <w:fldChar w:fldCharType="end"/>
        </w:r>
      </w:hyperlink>
    </w:p>
    <w:p w14:paraId="051D28B0" w14:textId="588DB443" w:rsidR="00617B86" w:rsidRDefault="00617B86">
      <w:pPr>
        <w:pStyle w:val="TOC1"/>
        <w:tabs>
          <w:tab w:val="right" w:leader="dot" w:pos="9350"/>
        </w:tabs>
        <w:rPr>
          <w:rFonts w:asciiTheme="minorHAnsi" w:eastAsiaTheme="minorEastAsia" w:hAnsiTheme="minorHAnsi"/>
          <w:caps w:val="0"/>
          <w:noProof/>
          <w:sz w:val="22"/>
        </w:rPr>
      </w:pPr>
      <w:hyperlink w:anchor="_Toc224458876" w:history="1">
        <w:r w:rsidRPr="005C0FB4">
          <w:rPr>
            <w:rStyle w:val="Hyperlink"/>
            <w:noProof/>
          </w:rPr>
          <w:t>Generative Artificial Intelligence Disclosure</w:t>
        </w:r>
        <w:r>
          <w:rPr>
            <w:noProof/>
            <w:webHidden/>
          </w:rPr>
          <w:tab/>
        </w:r>
        <w:r>
          <w:rPr>
            <w:noProof/>
            <w:webHidden/>
          </w:rPr>
          <w:fldChar w:fldCharType="begin"/>
        </w:r>
        <w:r>
          <w:rPr>
            <w:noProof/>
            <w:webHidden/>
          </w:rPr>
          <w:instrText xml:space="preserve"> PAGEREF _Toc224458876 \h </w:instrText>
        </w:r>
        <w:r>
          <w:rPr>
            <w:noProof/>
            <w:webHidden/>
          </w:rPr>
        </w:r>
        <w:r>
          <w:rPr>
            <w:noProof/>
            <w:webHidden/>
          </w:rPr>
          <w:fldChar w:fldCharType="separate"/>
        </w:r>
        <w:r>
          <w:rPr>
            <w:noProof/>
            <w:webHidden/>
          </w:rPr>
          <w:t>7</w:t>
        </w:r>
        <w:r>
          <w:rPr>
            <w:noProof/>
            <w:webHidden/>
          </w:rPr>
          <w:fldChar w:fldCharType="end"/>
        </w:r>
      </w:hyperlink>
    </w:p>
    <w:p w14:paraId="4AAEAD52" w14:textId="078D8A27" w:rsidR="00617B86" w:rsidRDefault="00617B86">
      <w:pPr>
        <w:pStyle w:val="TOC1"/>
        <w:tabs>
          <w:tab w:val="right" w:leader="dot" w:pos="9350"/>
        </w:tabs>
        <w:rPr>
          <w:rFonts w:asciiTheme="minorHAnsi" w:eastAsiaTheme="minorEastAsia" w:hAnsiTheme="minorHAnsi"/>
          <w:caps w:val="0"/>
          <w:noProof/>
          <w:sz w:val="22"/>
        </w:rPr>
      </w:pPr>
      <w:hyperlink w:anchor="_Toc224458877" w:history="1">
        <w:r w:rsidRPr="005C0FB4">
          <w:rPr>
            <w:rStyle w:val="Hyperlink"/>
            <w:noProof/>
          </w:rPr>
          <w:t>dedication</w:t>
        </w:r>
        <w:r>
          <w:rPr>
            <w:noProof/>
            <w:webHidden/>
          </w:rPr>
          <w:tab/>
        </w:r>
        <w:r>
          <w:rPr>
            <w:noProof/>
            <w:webHidden/>
          </w:rPr>
          <w:fldChar w:fldCharType="begin"/>
        </w:r>
        <w:r>
          <w:rPr>
            <w:noProof/>
            <w:webHidden/>
          </w:rPr>
          <w:instrText xml:space="preserve"> PAGEREF _Toc224458877 \h </w:instrText>
        </w:r>
        <w:r>
          <w:rPr>
            <w:noProof/>
            <w:webHidden/>
          </w:rPr>
        </w:r>
        <w:r>
          <w:rPr>
            <w:noProof/>
            <w:webHidden/>
          </w:rPr>
          <w:fldChar w:fldCharType="separate"/>
        </w:r>
        <w:r>
          <w:rPr>
            <w:noProof/>
            <w:webHidden/>
          </w:rPr>
          <w:t>8</w:t>
        </w:r>
        <w:r>
          <w:rPr>
            <w:noProof/>
            <w:webHidden/>
          </w:rPr>
          <w:fldChar w:fldCharType="end"/>
        </w:r>
      </w:hyperlink>
    </w:p>
    <w:p w14:paraId="2A3C0446" w14:textId="2836DA9D" w:rsidR="00617B86" w:rsidRDefault="00617B86">
      <w:pPr>
        <w:pStyle w:val="TOC1"/>
        <w:tabs>
          <w:tab w:val="right" w:leader="dot" w:pos="9350"/>
        </w:tabs>
        <w:rPr>
          <w:rFonts w:asciiTheme="minorHAnsi" w:eastAsiaTheme="minorEastAsia" w:hAnsiTheme="minorHAnsi"/>
          <w:caps w:val="0"/>
          <w:noProof/>
          <w:sz w:val="22"/>
        </w:rPr>
      </w:pPr>
      <w:hyperlink w:anchor="_Toc224458878" w:history="1">
        <w:r w:rsidRPr="005C0FB4">
          <w:rPr>
            <w:rStyle w:val="Hyperlink"/>
            <w:noProof/>
          </w:rPr>
          <w:t>acknowledgements</w:t>
        </w:r>
        <w:r>
          <w:rPr>
            <w:noProof/>
            <w:webHidden/>
          </w:rPr>
          <w:tab/>
        </w:r>
        <w:r>
          <w:rPr>
            <w:noProof/>
            <w:webHidden/>
          </w:rPr>
          <w:fldChar w:fldCharType="begin"/>
        </w:r>
        <w:r>
          <w:rPr>
            <w:noProof/>
            <w:webHidden/>
          </w:rPr>
          <w:instrText xml:space="preserve"> PAGEREF _Toc224458878 \h </w:instrText>
        </w:r>
        <w:r>
          <w:rPr>
            <w:noProof/>
            <w:webHidden/>
          </w:rPr>
        </w:r>
        <w:r>
          <w:rPr>
            <w:noProof/>
            <w:webHidden/>
          </w:rPr>
          <w:fldChar w:fldCharType="separate"/>
        </w:r>
        <w:r>
          <w:rPr>
            <w:noProof/>
            <w:webHidden/>
          </w:rPr>
          <w:t>9</w:t>
        </w:r>
        <w:r>
          <w:rPr>
            <w:noProof/>
            <w:webHidden/>
          </w:rPr>
          <w:fldChar w:fldCharType="end"/>
        </w:r>
      </w:hyperlink>
    </w:p>
    <w:p w14:paraId="5B7CB0F8" w14:textId="2EB09C21" w:rsidR="00617B86" w:rsidRDefault="00617B86">
      <w:pPr>
        <w:pStyle w:val="TOC1"/>
        <w:tabs>
          <w:tab w:val="right" w:leader="dot" w:pos="9350"/>
        </w:tabs>
        <w:rPr>
          <w:rFonts w:asciiTheme="minorHAnsi" w:eastAsiaTheme="minorEastAsia" w:hAnsiTheme="minorHAnsi"/>
          <w:caps w:val="0"/>
          <w:noProof/>
          <w:sz w:val="22"/>
        </w:rPr>
      </w:pPr>
      <w:hyperlink w:anchor="_Toc224458879" w:history="1">
        <w:r w:rsidRPr="005C0FB4">
          <w:rPr>
            <w:rStyle w:val="Hyperlink"/>
            <w:noProof/>
          </w:rPr>
          <w:t>List of tables</w:t>
        </w:r>
        <w:r>
          <w:rPr>
            <w:noProof/>
            <w:webHidden/>
          </w:rPr>
          <w:tab/>
        </w:r>
        <w:r>
          <w:rPr>
            <w:noProof/>
            <w:webHidden/>
          </w:rPr>
          <w:fldChar w:fldCharType="begin"/>
        </w:r>
        <w:r>
          <w:rPr>
            <w:noProof/>
            <w:webHidden/>
          </w:rPr>
          <w:instrText xml:space="preserve"> PAGEREF _Toc224458879 \h </w:instrText>
        </w:r>
        <w:r>
          <w:rPr>
            <w:noProof/>
            <w:webHidden/>
          </w:rPr>
        </w:r>
        <w:r>
          <w:rPr>
            <w:noProof/>
            <w:webHidden/>
          </w:rPr>
          <w:fldChar w:fldCharType="separate"/>
        </w:r>
        <w:r>
          <w:rPr>
            <w:noProof/>
            <w:webHidden/>
          </w:rPr>
          <w:t>13</w:t>
        </w:r>
        <w:r>
          <w:rPr>
            <w:noProof/>
            <w:webHidden/>
          </w:rPr>
          <w:fldChar w:fldCharType="end"/>
        </w:r>
      </w:hyperlink>
    </w:p>
    <w:p w14:paraId="599DF521" w14:textId="74671B59" w:rsidR="00617B86" w:rsidRDefault="00617B86">
      <w:pPr>
        <w:pStyle w:val="TOC1"/>
        <w:tabs>
          <w:tab w:val="right" w:leader="dot" w:pos="9350"/>
        </w:tabs>
        <w:rPr>
          <w:rFonts w:asciiTheme="minorHAnsi" w:eastAsiaTheme="minorEastAsia" w:hAnsiTheme="minorHAnsi"/>
          <w:caps w:val="0"/>
          <w:noProof/>
          <w:sz w:val="22"/>
        </w:rPr>
      </w:pPr>
      <w:hyperlink w:anchor="_Toc224458880" w:history="1">
        <w:r w:rsidRPr="005C0FB4">
          <w:rPr>
            <w:rStyle w:val="Hyperlink"/>
            <w:noProof/>
          </w:rPr>
          <w:t>LIST OF FIGURES</w:t>
        </w:r>
        <w:r>
          <w:rPr>
            <w:noProof/>
            <w:webHidden/>
          </w:rPr>
          <w:tab/>
        </w:r>
        <w:r>
          <w:rPr>
            <w:noProof/>
            <w:webHidden/>
          </w:rPr>
          <w:fldChar w:fldCharType="begin"/>
        </w:r>
        <w:r>
          <w:rPr>
            <w:noProof/>
            <w:webHidden/>
          </w:rPr>
          <w:instrText xml:space="preserve"> PAGEREF _Toc224458880 \h </w:instrText>
        </w:r>
        <w:r>
          <w:rPr>
            <w:noProof/>
            <w:webHidden/>
          </w:rPr>
        </w:r>
        <w:r>
          <w:rPr>
            <w:noProof/>
            <w:webHidden/>
          </w:rPr>
          <w:fldChar w:fldCharType="separate"/>
        </w:r>
        <w:r>
          <w:rPr>
            <w:noProof/>
            <w:webHidden/>
          </w:rPr>
          <w:t>14</w:t>
        </w:r>
        <w:r>
          <w:rPr>
            <w:noProof/>
            <w:webHidden/>
          </w:rPr>
          <w:fldChar w:fldCharType="end"/>
        </w:r>
      </w:hyperlink>
    </w:p>
    <w:p w14:paraId="1BD1E76E" w14:textId="2FD3ACC5" w:rsidR="00617B86" w:rsidRDefault="00617B86">
      <w:pPr>
        <w:pStyle w:val="TOC2"/>
        <w:tabs>
          <w:tab w:val="right" w:leader="dot" w:pos="9350"/>
        </w:tabs>
        <w:rPr>
          <w:rFonts w:asciiTheme="minorHAnsi" w:eastAsiaTheme="minorEastAsia" w:hAnsiTheme="minorHAnsi"/>
          <w:noProof/>
          <w:sz w:val="22"/>
        </w:rPr>
      </w:pPr>
      <w:hyperlink w:anchor="_Toc224458881" w:history="1">
        <w:r w:rsidRPr="005C0FB4">
          <w:rPr>
            <w:rStyle w:val="Hyperlink"/>
            <w:noProof/>
          </w:rPr>
          <w:t>Chapter 1. Introduction</w:t>
        </w:r>
        <w:r>
          <w:rPr>
            <w:noProof/>
            <w:webHidden/>
          </w:rPr>
          <w:tab/>
        </w:r>
        <w:r>
          <w:rPr>
            <w:noProof/>
            <w:webHidden/>
          </w:rPr>
          <w:fldChar w:fldCharType="begin"/>
        </w:r>
        <w:r>
          <w:rPr>
            <w:noProof/>
            <w:webHidden/>
          </w:rPr>
          <w:instrText xml:space="preserve"> PAGEREF _Toc224458881 \h </w:instrText>
        </w:r>
        <w:r>
          <w:rPr>
            <w:noProof/>
            <w:webHidden/>
          </w:rPr>
        </w:r>
        <w:r>
          <w:rPr>
            <w:noProof/>
            <w:webHidden/>
          </w:rPr>
          <w:fldChar w:fldCharType="separate"/>
        </w:r>
        <w:r>
          <w:rPr>
            <w:noProof/>
            <w:webHidden/>
          </w:rPr>
          <w:t>15</w:t>
        </w:r>
        <w:r>
          <w:rPr>
            <w:noProof/>
            <w:webHidden/>
          </w:rPr>
          <w:fldChar w:fldCharType="end"/>
        </w:r>
      </w:hyperlink>
    </w:p>
    <w:p w14:paraId="5EA824C6" w14:textId="4841F52C" w:rsidR="00617B86" w:rsidRDefault="00617B86">
      <w:pPr>
        <w:pStyle w:val="TOC3"/>
        <w:tabs>
          <w:tab w:val="right" w:leader="dot" w:pos="9350"/>
        </w:tabs>
        <w:rPr>
          <w:rFonts w:asciiTheme="minorHAnsi" w:eastAsiaTheme="minorEastAsia" w:hAnsiTheme="minorHAnsi"/>
          <w:noProof/>
          <w:sz w:val="22"/>
        </w:rPr>
      </w:pPr>
      <w:hyperlink w:anchor="_Toc224458882" w:history="1">
        <w:r w:rsidRPr="005C0FB4">
          <w:rPr>
            <w:rStyle w:val="Hyperlink"/>
            <w:noProof/>
          </w:rPr>
          <w:t>Purpose Statement</w:t>
        </w:r>
        <w:r>
          <w:rPr>
            <w:noProof/>
            <w:webHidden/>
          </w:rPr>
          <w:tab/>
        </w:r>
        <w:r>
          <w:rPr>
            <w:noProof/>
            <w:webHidden/>
          </w:rPr>
          <w:fldChar w:fldCharType="begin"/>
        </w:r>
        <w:r>
          <w:rPr>
            <w:noProof/>
            <w:webHidden/>
          </w:rPr>
          <w:instrText xml:space="preserve"> PAGEREF _Toc224458882 \h </w:instrText>
        </w:r>
        <w:r>
          <w:rPr>
            <w:noProof/>
            <w:webHidden/>
          </w:rPr>
        </w:r>
        <w:r>
          <w:rPr>
            <w:noProof/>
            <w:webHidden/>
          </w:rPr>
          <w:fldChar w:fldCharType="separate"/>
        </w:r>
        <w:r>
          <w:rPr>
            <w:noProof/>
            <w:webHidden/>
          </w:rPr>
          <w:t>17</w:t>
        </w:r>
        <w:r>
          <w:rPr>
            <w:noProof/>
            <w:webHidden/>
          </w:rPr>
          <w:fldChar w:fldCharType="end"/>
        </w:r>
      </w:hyperlink>
    </w:p>
    <w:p w14:paraId="7397BA82" w14:textId="5108C05D" w:rsidR="00617B86" w:rsidRDefault="00617B86">
      <w:pPr>
        <w:pStyle w:val="TOC3"/>
        <w:tabs>
          <w:tab w:val="right" w:leader="dot" w:pos="9350"/>
        </w:tabs>
        <w:rPr>
          <w:rFonts w:asciiTheme="minorHAnsi" w:eastAsiaTheme="minorEastAsia" w:hAnsiTheme="minorHAnsi"/>
          <w:noProof/>
          <w:sz w:val="22"/>
        </w:rPr>
      </w:pPr>
      <w:hyperlink w:anchor="_Toc224458883" w:history="1">
        <w:r w:rsidRPr="005C0FB4">
          <w:rPr>
            <w:rStyle w:val="Hyperlink"/>
            <w:noProof/>
          </w:rPr>
          <w:t>Problem</w:t>
        </w:r>
        <w:r>
          <w:rPr>
            <w:noProof/>
            <w:webHidden/>
          </w:rPr>
          <w:tab/>
        </w:r>
        <w:r>
          <w:rPr>
            <w:noProof/>
            <w:webHidden/>
          </w:rPr>
          <w:fldChar w:fldCharType="begin"/>
        </w:r>
        <w:r>
          <w:rPr>
            <w:noProof/>
            <w:webHidden/>
          </w:rPr>
          <w:instrText xml:space="preserve"> PAGEREF _Toc224458883 \h </w:instrText>
        </w:r>
        <w:r>
          <w:rPr>
            <w:noProof/>
            <w:webHidden/>
          </w:rPr>
        </w:r>
        <w:r>
          <w:rPr>
            <w:noProof/>
            <w:webHidden/>
          </w:rPr>
          <w:fldChar w:fldCharType="separate"/>
        </w:r>
        <w:r>
          <w:rPr>
            <w:noProof/>
            <w:webHidden/>
          </w:rPr>
          <w:t>18</w:t>
        </w:r>
        <w:r>
          <w:rPr>
            <w:noProof/>
            <w:webHidden/>
          </w:rPr>
          <w:fldChar w:fldCharType="end"/>
        </w:r>
      </w:hyperlink>
    </w:p>
    <w:p w14:paraId="1EDB13BA" w14:textId="103E8C72" w:rsidR="00617B86" w:rsidRDefault="00617B86">
      <w:pPr>
        <w:pStyle w:val="TOC3"/>
        <w:tabs>
          <w:tab w:val="right" w:leader="dot" w:pos="9350"/>
        </w:tabs>
        <w:rPr>
          <w:rFonts w:asciiTheme="minorHAnsi" w:eastAsiaTheme="minorEastAsia" w:hAnsiTheme="minorHAnsi"/>
          <w:noProof/>
          <w:sz w:val="22"/>
        </w:rPr>
      </w:pPr>
      <w:hyperlink w:anchor="_Toc224458884" w:history="1">
        <w:r w:rsidRPr="005C0FB4">
          <w:rPr>
            <w:rStyle w:val="Hyperlink"/>
            <w:noProof/>
          </w:rPr>
          <w:t>Significance of the Study</w:t>
        </w:r>
        <w:r>
          <w:rPr>
            <w:noProof/>
            <w:webHidden/>
          </w:rPr>
          <w:tab/>
        </w:r>
        <w:r>
          <w:rPr>
            <w:noProof/>
            <w:webHidden/>
          </w:rPr>
          <w:fldChar w:fldCharType="begin"/>
        </w:r>
        <w:r>
          <w:rPr>
            <w:noProof/>
            <w:webHidden/>
          </w:rPr>
          <w:instrText xml:space="preserve"> PAGEREF _Toc224458884 \h </w:instrText>
        </w:r>
        <w:r>
          <w:rPr>
            <w:noProof/>
            <w:webHidden/>
          </w:rPr>
        </w:r>
        <w:r>
          <w:rPr>
            <w:noProof/>
            <w:webHidden/>
          </w:rPr>
          <w:fldChar w:fldCharType="separate"/>
        </w:r>
        <w:r>
          <w:rPr>
            <w:noProof/>
            <w:webHidden/>
          </w:rPr>
          <w:t>19</w:t>
        </w:r>
        <w:r>
          <w:rPr>
            <w:noProof/>
            <w:webHidden/>
          </w:rPr>
          <w:fldChar w:fldCharType="end"/>
        </w:r>
      </w:hyperlink>
    </w:p>
    <w:p w14:paraId="55907BD8" w14:textId="7A24F1A0" w:rsidR="00617B86" w:rsidRDefault="00617B86">
      <w:pPr>
        <w:pStyle w:val="TOC3"/>
        <w:tabs>
          <w:tab w:val="right" w:leader="dot" w:pos="9350"/>
        </w:tabs>
        <w:rPr>
          <w:rFonts w:asciiTheme="minorHAnsi" w:eastAsiaTheme="minorEastAsia" w:hAnsiTheme="minorHAnsi"/>
          <w:noProof/>
          <w:sz w:val="22"/>
        </w:rPr>
      </w:pPr>
      <w:hyperlink w:anchor="_Toc224458885" w:history="1">
        <w:r w:rsidRPr="005C0FB4">
          <w:rPr>
            <w:rStyle w:val="Hyperlink"/>
            <w:noProof/>
          </w:rPr>
          <w:t>Research Questions</w:t>
        </w:r>
        <w:r>
          <w:rPr>
            <w:noProof/>
            <w:webHidden/>
          </w:rPr>
          <w:tab/>
        </w:r>
        <w:r>
          <w:rPr>
            <w:noProof/>
            <w:webHidden/>
          </w:rPr>
          <w:fldChar w:fldCharType="begin"/>
        </w:r>
        <w:r>
          <w:rPr>
            <w:noProof/>
            <w:webHidden/>
          </w:rPr>
          <w:instrText xml:space="preserve"> PAGEREF _Toc224458885 \h </w:instrText>
        </w:r>
        <w:r>
          <w:rPr>
            <w:noProof/>
            <w:webHidden/>
          </w:rPr>
        </w:r>
        <w:r>
          <w:rPr>
            <w:noProof/>
            <w:webHidden/>
          </w:rPr>
          <w:fldChar w:fldCharType="separate"/>
        </w:r>
        <w:r>
          <w:rPr>
            <w:noProof/>
            <w:webHidden/>
          </w:rPr>
          <w:t>20</w:t>
        </w:r>
        <w:r>
          <w:rPr>
            <w:noProof/>
            <w:webHidden/>
          </w:rPr>
          <w:fldChar w:fldCharType="end"/>
        </w:r>
      </w:hyperlink>
    </w:p>
    <w:p w14:paraId="22EBECEE" w14:textId="274B9EFB" w:rsidR="00617B86" w:rsidRDefault="00617B86">
      <w:pPr>
        <w:pStyle w:val="TOC3"/>
        <w:tabs>
          <w:tab w:val="right" w:leader="dot" w:pos="9350"/>
        </w:tabs>
        <w:rPr>
          <w:rFonts w:asciiTheme="minorHAnsi" w:eastAsiaTheme="minorEastAsia" w:hAnsiTheme="minorHAnsi"/>
          <w:noProof/>
          <w:sz w:val="22"/>
        </w:rPr>
      </w:pPr>
      <w:hyperlink w:anchor="_Toc224458886" w:history="1">
        <w:r w:rsidRPr="005C0FB4">
          <w:rPr>
            <w:rStyle w:val="Hyperlink"/>
            <w:noProof/>
          </w:rPr>
          <w:t>Definition of Terms</w:t>
        </w:r>
        <w:r>
          <w:rPr>
            <w:noProof/>
            <w:webHidden/>
          </w:rPr>
          <w:tab/>
        </w:r>
        <w:r>
          <w:rPr>
            <w:noProof/>
            <w:webHidden/>
          </w:rPr>
          <w:fldChar w:fldCharType="begin"/>
        </w:r>
        <w:r>
          <w:rPr>
            <w:noProof/>
            <w:webHidden/>
          </w:rPr>
          <w:instrText xml:space="preserve"> PAGEREF _Toc224458886 \h </w:instrText>
        </w:r>
        <w:r>
          <w:rPr>
            <w:noProof/>
            <w:webHidden/>
          </w:rPr>
        </w:r>
        <w:r>
          <w:rPr>
            <w:noProof/>
            <w:webHidden/>
          </w:rPr>
          <w:fldChar w:fldCharType="separate"/>
        </w:r>
        <w:r>
          <w:rPr>
            <w:noProof/>
            <w:webHidden/>
          </w:rPr>
          <w:t>22</w:t>
        </w:r>
        <w:r>
          <w:rPr>
            <w:noProof/>
            <w:webHidden/>
          </w:rPr>
          <w:fldChar w:fldCharType="end"/>
        </w:r>
      </w:hyperlink>
    </w:p>
    <w:p w14:paraId="4FED29AC" w14:textId="6DD35198" w:rsidR="00617B86" w:rsidRDefault="00617B86">
      <w:pPr>
        <w:pStyle w:val="TOC3"/>
        <w:tabs>
          <w:tab w:val="right" w:leader="dot" w:pos="9350"/>
        </w:tabs>
        <w:rPr>
          <w:rFonts w:asciiTheme="minorHAnsi" w:eastAsiaTheme="minorEastAsia" w:hAnsiTheme="minorHAnsi"/>
          <w:noProof/>
          <w:sz w:val="22"/>
        </w:rPr>
      </w:pPr>
      <w:hyperlink w:anchor="_Toc224458887" w:history="1">
        <w:r w:rsidRPr="005C0FB4">
          <w:rPr>
            <w:rStyle w:val="Hyperlink"/>
            <w:noProof/>
          </w:rPr>
          <w:t>Delimitations and Limitations</w:t>
        </w:r>
        <w:r>
          <w:rPr>
            <w:noProof/>
            <w:webHidden/>
          </w:rPr>
          <w:tab/>
        </w:r>
        <w:r>
          <w:rPr>
            <w:noProof/>
            <w:webHidden/>
          </w:rPr>
          <w:fldChar w:fldCharType="begin"/>
        </w:r>
        <w:r>
          <w:rPr>
            <w:noProof/>
            <w:webHidden/>
          </w:rPr>
          <w:instrText xml:space="preserve"> PAGEREF _Toc224458887 \h </w:instrText>
        </w:r>
        <w:r>
          <w:rPr>
            <w:noProof/>
            <w:webHidden/>
          </w:rPr>
        </w:r>
        <w:r>
          <w:rPr>
            <w:noProof/>
            <w:webHidden/>
          </w:rPr>
          <w:fldChar w:fldCharType="separate"/>
        </w:r>
        <w:r>
          <w:rPr>
            <w:noProof/>
            <w:webHidden/>
          </w:rPr>
          <w:t>24</w:t>
        </w:r>
        <w:r>
          <w:rPr>
            <w:noProof/>
            <w:webHidden/>
          </w:rPr>
          <w:fldChar w:fldCharType="end"/>
        </w:r>
      </w:hyperlink>
    </w:p>
    <w:p w14:paraId="586482B3" w14:textId="1E54845B" w:rsidR="00617B86" w:rsidRDefault="00617B86">
      <w:pPr>
        <w:pStyle w:val="TOC3"/>
        <w:tabs>
          <w:tab w:val="right" w:leader="dot" w:pos="9350"/>
        </w:tabs>
        <w:rPr>
          <w:rFonts w:asciiTheme="minorHAnsi" w:eastAsiaTheme="minorEastAsia" w:hAnsiTheme="minorHAnsi"/>
          <w:noProof/>
          <w:sz w:val="22"/>
        </w:rPr>
      </w:pPr>
      <w:hyperlink w:anchor="_Toc224458888" w:history="1">
        <w:r w:rsidRPr="005C0FB4">
          <w:rPr>
            <w:rStyle w:val="Hyperlink"/>
            <w:noProof/>
          </w:rPr>
          <w:t>Chapter Summary</w:t>
        </w:r>
        <w:r>
          <w:rPr>
            <w:noProof/>
            <w:webHidden/>
          </w:rPr>
          <w:tab/>
        </w:r>
        <w:r>
          <w:rPr>
            <w:noProof/>
            <w:webHidden/>
          </w:rPr>
          <w:fldChar w:fldCharType="begin"/>
        </w:r>
        <w:r>
          <w:rPr>
            <w:noProof/>
            <w:webHidden/>
          </w:rPr>
          <w:instrText xml:space="preserve"> PAGEREF _Toc224458888 \h </w:instrText>
        </w:r>
        <w:r>
          <w:rPr>
            <w:noProof/>
            <w:webHidden/>
          </w:rPr>
        </w:r>
        <w:r>
          <w:rPr>
            <w:noProof/>
            <w:webHidden/>
          </w:rPr>
          <w:fldChar w:fldCharType="separate"/>
        </w:r>
        <w:r>
          <w:rPr>
            <w:noProof/>
            <w:webHidden/>
          </w:rPr>
          <w:t>24</w:t>
        </w:r>
        <w:r>
          <w:rPr>
            <w:noProof/>
            <w:webHidden/>
          </w:rPr>
          <w:fldChar w:fldCharType="end"/>
        </w:r>
      </w:hyperlink>
    </w:p>
    <w:p w14:paraId="22F6F75A" w14:textId="555AFA85" w:rsidR="00617B86" w:rsidRDefault="00617B86">
      <w:pPr>
        <w:pStyle w:val="TOC2"/>
        <w:tabs>
          <w:tab w:val="right" w:leader="dot" w:pos="9350"/>
        </w:tabs>
        <w:rPr>
          <w:rFonts w:asciiTheme="minorHAnsi" w:eastAsiaTheme="minorEastAsia" w:hAnsiTheme="minorHAnsi"/>
          <w:noProof/>
          <w:sz w:val="22"/>
        </w:rPr>
      </w:pPr>
      <w:hyperlink w:anchor="_Toc224458889" w:history="1">
        <w:r w:rsidRPr="005C0FB4">
          <w:rPr>
            <w:rStyle w:val="Hyperlink"/>
            <w:noProof/>
          </w:rPr>
          <w:t xml:space="preserve">Chapter 2. </w:t>
        </w:r>
        <w:r w:rsidRPr="005C0FB4">
          <w:rPr>
            <w:rStyle w:val="Hyperlink"/>
            <w:rFonts w:cs="Times New Roman"/>
            <w:noProof/>
          </w:rPr>
          <w:t>Review of Literature</w:t>
        </w:r>
        <w:r>
          <w:rPr>
            <w:noProof/>
            <w:webHidden/>
          </w:rPr>
          <w:tab/>
        </w:r>
        <w:r>
          <w:rPr>
            <w:noProof/>
            <w:webHidden/>
          </w:rPr>
          <w:fldChar w:fldCharType="begin"/>
        </w:r>
        <w:r>
          <w:rPr>
            <w:noProof/>
            <w:webHidden/>
          </w:rPr>
          <w:instrText xml:space="preserve"> PAGEREF _Toc224458889 \h </w:instrText>
        </w:r>
        <w:r>
          <w:rPr>
            <w:noProof/>
            <w:webHidden/>
          </w:rPr>
        </w:r>
        <w:r>
          <w:rPr>
            <w:noProof/>
            <w:webHidden/>
          </w:rPr>
          <w:fldChar w:fldCharType="separate"/>
        </w:r>
        <w:r>
          <w:rPr>
            <w:noProof/>
            <w:webHidden/>
          </w:rPr>
          <w:t>26</w:t>
        </w:r>
        <w:r>
          <w:rPr>
            <w:noProof/>
            <w:webHidden/>
          </w:rPr>
          <w:fldChar w:fldCharType="end"/>
        </w:r>
      </w:hyperlink>
    </w:p>
    <w:p w14:paraId="777C07DE" w14:textId="2873CF71" w:rsidR="00617B86" w:rsidRDefault="00617B86">
      <w:pPr>
        <w:pStyle w:val="TOC3"/>
        <w:tabs>
          <w:tab w:val="right" w:leader="dot" w:pos="9350"/>
        </w:tabs>
        <w:rPr>
          <w:rFonts w:asciiTheme="minorHAnsi" w:eastAsiaTheme="minorEastAsia" w:hAnsiTheme="minorHAnsi"/>
          <w:noProof/>
          <w:sz w:val="22"/>
        </w:rPr>
      </w:pPr>
      <w:hyperlink w:anchor="_Toc224458890" w:history="1">
        <w:r w:rsidRPr="005C0FB4">
          <w:rPr>
            <w:rStyle w:val="Hyperlink"/>
            <w:noProof/>
          </w:rPr>
          <w:t>Conceptual Framework</w:t>
        </w:r>
        <w:r>
          <w:rPr>
            <w:noProof/>
            <w:webHidden/>
          </w:rPr>
          <w:tab/>
        </w:r>
        <w:r>
          <w:rPr>
            <w:noProof/>
            <w:webHidden/>
          </w:rPr>
          <w:fldChar w:fldCharType="begin"/>
        </w:r>
        <w:r>
          <w:rPr>
            <w:noProof/>
            <w:webHidden/>
          </w:rPr>
          <w:instrText xml:space="preserve"> PAGEREF _Toc224458890 \h </w:instrText>
        </w:r>
        <w:r>
          <w:rPr>
            <w:noProof/>
            <w:webHidden/>
          </w:rPr>
        </w:r>
        <w:r>
          <w:rPr>
            <w:noProof/>
            <w:webHidden/>
          </w:rPr>
          <w:fldChar w:fldCharType="separate"/>
        </w:r>
        <w:r>
          <w:rPr>
            <w:noProof/>
            <w:webHidden/>
          </w:rPr>
          <w:t>26</w:t>
        </w:r>
        <w:r>
          <w:rPr>
            <w:noProof/>
            <w:webHidden/>
          </w:rPr>
          <w:fldChar w:fldCharType="end"/>
        </w:r>
      </w:hyperlink>
    </w:p>
    <w:p w14:paraId="6C46B71F" w14:textId="46CE3959" w:rsidR="00617B86" w:rsidRDefault="00617B86">
      <w:pPr>
        <w:pStyle w:val="TOC3"/>
        <w:tabs>
          <w:tab w:val="right" w:leader="dot" w:pos="9350"/>
        </w:tabs>
        <w:rPr>
          <w:rFonts w:asciiTheme="minorHAnsi" w:eastAsiaTheme="minorEastAsia" w:hAnsiTheme="minorHAnsi"/>
          <w:noProof/>
          <w:sz w:val="22"/>
        </w:rPr>
      </w:pPr>
      <w:hyperlink w:anchor="_Toc224458891" w:history="1">
        <w:r w:rsidRPr="005C0FB4">
          <w:rPr>
            <w:rStyle w:val="Hyperlink"/>
            <w:noProof/>
          </w:rPr>
          <w:t>History of Community Colleges</w:t>
        </w:r>
        <w:r>
          <w:rPr>
            <w:noProof/>
            <w:webHidden/>
          </w:rPr>
          <w:tab/>
        </w:r>
        <w:r>
          <w:rPr>
            <w:noProof/>
            <w:webHidden/>
          </w:rPr>
          <w:fldChar w:fldCharType="begin"/>
        </w:r>
        <w:r>
          <w:rPr>
            <w:noProof/>
            <w:webHidden/>
          </w:rPr>
          <w:instrText xml:space="preserve"> PAGEREF _Toc224458891 \h </w:instrText>
        </w:r>
        <w:r>
          <w:rPr>
            <w:noProof/>
            <w:webHidden/>
          </w:rPr>
        </w:r>
        <w:r>
          <w:rPr>
            <w:noProof/>
            <w:webHidden/>
          </w:rPr>
          <w:fldChar w:fldCharType="separate"/>
        </w:r>
        <w:r>
          <w:rPr>
            <w:noProof/>
            <w:webHidden/>
          </w:rPr>
          <w:t>32</w:t>
        </w:r>
        <w:r>
          <w:rPr>
            <w:noProof/>
            <w:webHidden/>
          </w:rPr>
          <w:fldChar w:fldCharType="end"/>
        </w:r>
      </w:hyperlink>
    </w:p>
    <w:p w14:paraId="6FEC1A9E" w14:textId="45D96DF9" w:rsidR="00617B86" w:rsidRDefault="00617B86">
      <w:pPr>
        <w:pStyle w:val="TOC3"/>
        <w:tabs>
          <w:tab w:val="right" w:leader="dot" w:pos="9350"/>
        </w:tabs>
        <w:rPr>
          <w:rFonts w:asciiTheme="minorHAnsi" w:eastAsiaTheme="minorEastAsia" w:hAnsiTheme="minorHAnsi"/>
          <w:noProof/>
          <w:sz w:val="22"/>
        </w:rPr>
      </w:pPr>
      <w:hyperlink w:anchor="_Toc224458892" w:history="1">
        <w:r w:rsidRPr="005C0FB4">
          <w:rPr>
            <w:rStyle w:val="Hyperlink"/>
            <w:noProof/>
          </w:rPr>
          <w:t>The Completion Agenda</w:t>
        </w:r>
        <w:r>
          <w:rPr>
            <w:noProof/>
            <w:webHidden/>
          </w:rPr>
          <w:tab/>
        </w:r>
        <w:r>
          <w:rPr>
            <w:noProof/>
            <w:webHidden/>
          </w:rPr>
          <w:fldChar w:fldCharType="begin"/>
        </w:r>
        <w:r>
          <w:rPr>
            <w:noProof/>
            <w:webHidden/>
          </w:rPr>
          <w:instrText xml:space="preserve"> PAGEREF _Toc224458892 \h </w:instrText>
        </w:r>
        <w:r>
          <w:rPr>
            <w:noProof/>
            <w:webHidden/>
          </w:rPr>
        </w:r>
        <w:r>
          <w:rPr>
            <w:noProof/>
            <w:webHidden/>
          </w:rPr>
          <w:fldChar w:fldCharType="separate"/>
        </w:r>
        <w:r>
          <w:rPr>
            <w:noProof/>
            <w:webHidden/>
          </w:rPr>
          <w:t>36</w:t>
        </w:r>
        <w:r>
          <w:rPr>
            <w:noProof/>
            <w:webHidden/>
          </w:rPr>
          <w:fldChar w:fldCharType="end"/>
        </w:r>
      </w:hyperlink>
    </w:p>
    <w:p w14:paraId="4FC61110" w14:textId="3EEAEE0B" w:rsidR="00617B86" w:rsidRDefault="00617B86">
      <w:pPr>
        <w:pStyle w:val="TOC3"/>
        <w:tabs>
          <w:tab w:val="right" w:leader="dot" w:pos="9350"/>
        </w:tabs>
        <w:rPr>
          <w:rFonts w:asciiTheme="minorHAnsi" w:eastAsiaTheme="minorEastAsia" w:hAnsiTheme="minorHAnsi"/>
          <w:noProof/>
          <w:sz w:val="22"/>
        </w:rPr>
      </w:pPr>
      <w:hyperlink w:anchor="_Toc224458893" w:history="1">
        <w:r w:rsidRPr="005C0FB4">
          <w:rPr>
            <w:rStyle w:val="Hyperlink"/>
            <w:noProof/>
          </w:rPr>
          <w:t>Outcomes-Based Funding Formula</w:t>
        </w:r>
        <w:r>
          <w:rPr>
            <w:noProof/>
            <w:webHidden/>
          </w:rPr>
          <w:tab/>
        </w:r>
        <w:r>
          <w:rPr>
            <w:noProof/>
            <w:webHidden/>
          </w:rPr>
          <w:fldChar w:fldCharType="begin"/>
        </w:r>
        <w:r>
          <w:rPr>
            <w:noProof/>
            <w:webHidden/>
          </w:rPr>
          <w:instrText xml:space="preserve"> PAGEREF _Toc224458893 \h </w:instrText>
        </w:r>
        <w:r>
          <w:rPr>
            <w:noProof/>
            <w:webHidden/>
          </w:rPr>
        </w:r>
        <w:r>
          <w:rPr>
            <w:noProof/>
            <w:webHidden/>
          </w:rPr>
          <w:fldChar w:fldCharType="separate"/>
        </w:r>
        <w:r>
          <w:rPr>
            <w:noProof/>
            <w:webHidden/>
          </w:rPr>
          <w:t>38</w:t>
        </w:r>
        <w:r>
          <w:rPr>
            <w:noProof/>
            <w:webHidden/>
          </w:rPr>
          <w:fldChar w:fldCharType="end"/>
        </w:r>
      </w:hyperlink>
    </w:p>
    <w:p w14:paraId="7C8981C7" w14:textId="65BCBE00" w:rsidR="00617B86" w:rsidRDefault="00617B86">
      <w:pPr>
        <w:pStyle w:val="TOC3"/>
        <w:tabs>
          <w:tab w:val="right" w:leader="dot" w:pos="9350"/>
        </w:tabs>
        <w:rPr>
          <w:rFonts w:asciiTheme="minorHAnsi" w:eastAsiaTheme="minorEastAsia" w:hAnsiTheme="minorHAnsi"/>
          <w:noProof/>
          <w:sz w:val="22"/>
        </w:rPr>
      </w:pPr>
      <w:hyperlink w:anchor="_Toc224458894" w:history="1">
        <w:r w:rsidRPr="005C0FB4">
          <w:rPr>
            <w:rStyle w:val="Hyperlink"/>
            <w:rFonts w:cs="Times New Roman"/>
            <w:noProof/>
          </w:rPr>
          <w:t xml:space="preserve">Early Postsecondary Opportunities and </w:t>
        </w:r>
        <w:r w:rsidRPr="005C0FB4">
          <w:rPr>
            <w:rStyle w:val="Hyperlink"/>
            <w:rFonts w:cs="Times New Roman"/>
            <w:i/>
            <w:noProof/>
          </w:rPr>
          <w:t>Ready Graduate</w:t>
        </w:r>
        <w:r w:rsidRPr="005C0FB4">
          <w:rPr>
            <w:rStyle w:val="Hyperlink"/>
            <w:rFonts w:cs="Times New Roman"/>
            <w:noProof/>
          </w:rPr>
          <w:t xml:space="preserve"> Indicator</w:t>
        </w:r>
        <w:r>
          <w:rPr>
            <w:noProof/>
            <w:webHidden/>
          </w:rPr>
          <w:tab/>
        </w:r>
        <w:r>
          <w:rPr>
            <w:noProof/>
            <w:webHidden/>
          </w:rPr>
          <w:fldChar w:fldCharType="begin"/>
        </w:r>
        <w:r>
          <w:rPr>
            <w:noProof/>
            <w:webHidden/>
          </w:rPr>
          <w:instrText xml:space="preserve"> PAGEREF _Toc224458894 \h </w:instrText>
        </w:r>
        <w:r>
          <w:rPr>
            <w:noProof/>
            <w:webHidden/>
          </w:rPr>
        </w:r>
        <w:r>
          <w:rPr>
            <w:noProof/>
            <w:webHidden/>
          </w:rPr>
          <w:fldChar w:fldCharType="separate"/>
        </w:r>
        <w:r>
          <w:rPr>
            <w:noProof/>
            <w:webHidden/>
          </w:rPr>
          <w:t>39</w:t>
        </w:r>
        <w:r>
          <w:rPr>
            <w:noProof/>
            <w:webHidden/>
          </w:rPr>
          <w:fldChar w:fldCharType="end"/>
        </w:r>
      </w:hyperlink>
    </w:p>
    <w:p w14:paraId="4244AFDF" w14:textId="5E2586BD" w:rsidR="00617B86" w:rsidRDefault="00617B86">
      <w:pPr>
        <w:pStyle w:val="TOC3"/>
        <w:tabs>
          <w:tab w:val="right" w:leader="dot" w:pos="9350"/>
        </w:tabs>
        <w:rPr>
          <w:rFonts w:asciiTheme="minorHAnsi" w:eastAsiaTheme="minorEastAsia" w:hAnsiTheme="minorHAnsi"/>
          <w:noProof/>
          <w:sz w:val="22"/>
        </w:rPr>
      </w:pPr>
      <w:hyperlink w:anchor="_Toc224458895" w:history="1">
        <w:r w:rsidRPr="005C0FB4">
          <w:rPr>
            <w:rStyle w:val="Hyperlink"/>
            <w:rFonts w:cs="Times New Roman"/>
            <w:noProof/>
          </w:rPr>
          <w:t>Dual Enrollment</w:t>
        </w:r>
        <w:r>
          <w:rPr>
            <w:noProof/>
            <w:webHidden/>
          </w:rPr>
          <w:tab/>
        </w:r>
        <w:r>
          <w:rPr>
            <w:noProof/>
            <w:webHidden/>
          </w:rPr>
          <w:fldChar w:fldCharType="begin"/>
        </w:r>
        <w:r>
          <w:rPr>
            <w:noProof/>
            <w:webHidden/>
          </w:rPr>
          <w:instrText xml:space="preserve"> PAGEREF _Toc224458895 \h </w:instrText>
        </w:r>
        <w:r>
          <w:rPr>
            <w:noProof/>
            <w:webHidden/>
          </w:rPr>
        </w:r>
        <w:r>
          <w:rPr>
            <w:noProof/>
            <w:webHidden/>
          </w:rPr>
          <w:fldChar w:fldCharType="separate"/>
        </w:r>
        <w:r>
          <w:rPr>
            <w:noProof/>
            <w:webHidden/>
          </w:rPr>
          <w:t>43</w:t>
        </w:r>
        <w:r>
          <w:rPr>
            <w:noProof/>
            <w:webHidden/>
          </w:rPr>
          <w:fldChar w:fldCharType="end"/>
        </w:r>
      </w:hyperlink>
    </w:p>
    <w:p w14:paraId="601BCC29" w14:textId="4CCC46A0" w:rsidR="00617B86" w:rsidRDefault="00617B86">
      <w:pPr>
        <w:pStyle w:val="TOC3"/>
        <w:tabs>
          <w:tab w:val="right" w:leader="dot" w:pos="9350"/>
        </w:tabs>
        <w:rPr>
          <w:rFonts w:asciiTheme="minorHAnsi" w:eastAsiaTheme="minorEastAsia" w:hAnsiTheme="minorHAnsi"/>
          <w:noProof/>
          <w:sz w:val="22"/>
        </w:rPr>
      </w:pPr>
      <w:hyperlink w:anchor="_Toc224458896" w:history="1">
        <w:r w:rsidRPr="005C0FB4">
          <w:rPr>
            <w:rStyle w:val="Hyperlink"/>
            <w:rFonts w:cs="Times New Roman"/>
            <w:noProof/>
          </w:rPr>
          <w:t>Benefits of Dual Enrollment</w:t>
        </w:r>
        <w:r>
          <w:rPr>
            <w:noProof/>
            <w:webHidden/>
          </w:rPr>
          <w:tab/>
        </w:r>
        <w:r>
          <w:rPr>
            <w:noProof/>
            <w:webHidden/>
          </w:rPr>
          <w:fldChar w:fldCharType="begin"/>
        </w:r>
        <w:r>
          <w:rPr>
            <w:noProof/>
            <w:webHidden/>
          </w:rPr>
          <w:instrText xml:space="preserve"> PAGEREF _Toc224458896 \h </w:instrText>
        </w:r>
        <w:r>
          <w:rPr>
            <w:noProof/>
            <w:webHidden/>
          </w:rPr>
        </w:r>
        <w:r>
          <w:rPr>
            <w:noProof/>
            <w:webHidden/>
          </w:rPr>
          <w:fldChar w:fldCharType="separate"/>
        </w:r>
        <w:r>
          <w:rPr>
            <w:noProof/>
            <w:webHidden/>
          </w:rPr>
          <w:t>45</w:t>
        </w:r>
        <w:r>
          <w:rPr>
            <w:noProof/>
            <w:webHidden/>
          </w:rPr>
          <w:fldChar w:fldCharType="end"/>
        </w:r>
      </w:hyperlink>
    </w:p>
    <w:p w14:paraId="25742C0B" w14:textId="1CB60FDF" w:rsidR="00617B86" w:rsidRDefault="00617B86">
      <w:pPr>
        <w:pStyle w:val="TOC3"/>
        <w:tabs>
          <w:tab w:val="right" w:leader="dot" w:pos="9350"/>
        </w:tabs>
        <w:rPr>
          <w:rFonts w:asciiTheme="minorHAnsi" w:eastAsiaTheme="minorEastAsia" w:hAnsiTheme="minorHAnsi"/>
          <w:noProof/>
          <w:sz w:val="22"/>
        </w:rPr>
      </w:pPr>
      <w:hyperlink w:anchor="_Toc224458897" w:history="1">
        <w:r w:rsidRPr="005C0FB4">
          <w:rPr>
            <w:rStyle w:val="Hyperlink"/>
            <w:rFonts w:cs="Times New Roman"/>
            <w:noProof/>
          </w:rPr>
          <w:t>Challenges of Dual Enrollment</w:t>
        </w:r>
        <w:r>
          <w:rPr>
            <w:noProof/>
            <w:webHidden/>
          </w:rPr>
          <w:tab/>
        </w:r>
        <w:r>
          <w:rPr>
            <w:noProof/>
            <w:webHidden/>
          </w:rPr>
          <w:fldChar w:fldCharType="begin"/>
        </w:r>
        <w:r>
          <w:rPr>
            <w:noProof/>
            <w:webHidden/>
          </w:rPr>
          <w:instrText xml:space="preserve"> PAGEREF _Toc224458897 \h </w:instrText>
        </w:r>
        <w:r>
          <w:rPr>
            <w:noProof/>
            <w:webHidden/>
          </w:rPr>
        </w:r>
        <w:r>
          <w:rPr>
            <w:noProof/>
            <w:webHidden/>
          </w:rPr>
          <w:fldChar w:fldCharType="separate"/>
        </w:r>
        <w:r>
          <w:rPr>
            <w:noProof/>
            <w:webHidden/>
          </w:rPr>
          <w:t>48</w:t>
        </w:r>
        <w:r>
          <w:rPr>
            <w:noProof/>
            <w:webHidden/>
          </w:rPr>
          <w:fldChar w:fldCharType="end"/>
        </w:r>
      </w:hyperlink>
    </w:p>
    <w:p w14:paraId="74CA7217" w14:textId="5A2627BE" w:rsidR="00617B86" w:rsidRDefault="00617B86">
      <w:pPr>
        <w:pStyle w:val="TOC3"/>
        <w:tabs>
          <w:tab w:val="right" w:leader="dot" w:pos="9350"/>
        </w:tabs>
        <w:rPr>
          <w:rFonts w:asciiTheme="minorHAnsi" w:eastAsiaTheme="minorEastAsia" w:hAnsiTheme="minorHAnsi"/>
          <w:noProof/>
          <w:sz w:val="22"/>
        </w:rPr>
      </w:pPr>
      <w:hyperlink w:anchor="_Toc224458898" w:history="1">
        <w:r w:rsidRPr="005C0FB4">
          <w:rPr>
            <w:rStyle w:val="Hyperlink"/>
            <w:rFonts w:cs="Times New Roman"/>
            <w:noProof/>
          </w:rPr>
          <w:t>Chapter Summary</w:t>
        </w:r>
        <w:r>
          <w:rPr>
            <w:noProof/>
            <w:webHidden/>
          </w:rPr>
          <w:tab/>
        </w:r>
        <w:r>
          <w:rPr>
            <w:noProof/>
            <w:webHidden/>
          </w:rPr>
          <w:fldChar w:fldCharType="begin"/>
        </w:r>
        <w:r>
          <w:rPr>
            <w:noProof/>
            <w:webHidden/>
          </w:rPr>
          <w:instrText xml:space="preserve"> PAGEREF _Toc224458898 \h </w:instrText>
        </w:r>
        <w:r>
          <w:rPr>
            <w:noProof/>
            <w:webHidden/>
          </w:rPr>
        </w:r>
        <w:r>
          <w:rPr>
            <w:noProof/>
            <w:webHidden/>
          </w:rPr>
          <w:fldChar w:fldCharType="separate"/>
        </w:r>
        <w:r>
          <w:rPr>
            <w:noProof/>
            <w:webHidden/>
          </w:rPr>
          <w:t>54</w:t>
        </w:r>
        <w:r>
          <w:rPr>
            <w:noProof/>
            <w:webHidden/>
          </w:rPr>
          <w:fldChar w:fldCharType="end"/>
        </w:r>
      </w:hyperlink>
    </w:p>
    <w:p w14:paraId="1587E33B" w14:textId="4219B653" w:rsidR="00617B86" w:rsidRDefault="00617B86">
      <w:pPr>
        <w:pStyle w:val="TOC2"/>
        <w:tabs>
          <w:tab w:val="right" w:leader="dot" w:pos="9350"/>
        </w:tabs>
        <w:rPr>
          <w:rFonts w:asciiTheme="minorHAnsi" w:eastAsiaTheme="minorEastAsia" w:hAnsiTheme="minorHAnsi"/>
          <w:noProof/>
          <w:sz w:val="22"/>
        </w:rPr>
      </w:pPr>
      <w:hyperlink w:anchor="_Toc224458899" w:history="1">
        <w:r w:rsidRPr="005C0FB4">
          <w:rPr>
            <w:rStyle w:val="Hyperlink"/>
            <w:rFonts w:cs="Times New Roman"/>
            <w:noProof/>
          </w:rPr>
          <w:t>Chapter 3. Research Method</w:t>
        </w:r>
        <w:r>
          <w:rPr>
            <w:noProof/>
            <w:webHidden/>
          </w:rPr>
          <w:tab/>
        </w:r>
        <w:r>
          <w:rPr>
            <w:noProof/>
            <w:webHidden/>
          </w:rPr>
          <w:fldChar w:fldCharType="begin"/>
        </w:r>
        <w:r>
          <w:rPr>
            <w:noProof/>
            <w:webHidden/>
          </w:rPr>
          <w:instrText xml:space="preserve"> PAGEREF _Toc224458899 \h </w:instrText>
        </w:r>
        <w:r>
          <w:rPr>
            <w:noProof/>
            <w:webHidden/>
          </w:rPr>
        </w:r>
        <w:r>
          <w:rPr>
            <w:noProof/>
            <w:webHidden/>
          </w:rPr>
          <w:fldChar w:fldCharType="separate"/>
        </w:r>
        <w:r>
          <w:rPr>
            <w:noProof/>
            <w:webHidden/>
          </w:rPr>
          <w:t>56</w:t>
        </w:r>
        <w:r>
          <w:rPr>
            <w:noProof/>
            <w:webHidden/>
          </w:rPr>
          <w:fldChar w:fldCharType="end"/>
        </w:r>
      </w:hyperlink>
    </w:p>
    <w:p w14:paraId="1925001D" w14:textId="2F5EB77E" w:rsidR="00617B86" w:rsidRDefault="00617B86">
      <w:pPr>
        <w:pStyle w:val="TOC3"/>
        <w:tabs>
          <w:tab w:val="right" w:leader="dot" w:pos="9350"/>
        </w:tabs>
        <w:rPr>
          <w:rFonts w:asciiTheme="minorHAnsi" w:eastAsiaTheme="minorEastAsia" w:hAnsiTheme="minorHAnsi"/>
          <w:noProof/>
          <w:sz w:val="22"/>
        </w:rPr>
      </w:pPr>
      <w:hyperlink w:anchor="_Toc224458900" w:history="1">
        <w:r w:rsidRPr="005C0FB4">
          <w:rPr>
            <w:rStyle w:val="Hyperlink"/>
            <w:rFonts w:cs="Times New Roman"/>
            <w:noProof/>
          </w:rPr>
          <w:t>Research Questions and Null Hypotheses</w:t>
        </w:r>
        <w:r>
          <w:rPr>
            <w:noProof/>
            <w:webHidden/>
          </w:rPr>
          <w:tab/>
        </w:r>
        <w:r>
          <w:rPr>
            <w:noProof/>
            <w:webHidden/>
          </w:rPr>
          <w:fldChar w:fldCharType="begin"/>
        </w:r>
        <w:r>
          <w:rPr>
            <w:noProof/>
            <w:webHidden/>
          </w:rPr>
          <w:instrText xml:space="preserve"> PAGEREF _Toc224458900 \h </w:instrText>
        </w:r>
        <w:r>
          <w:rPr>
            <w:noProof/>
            <w:webHidden/>
          </w:rPr>
        </w:r>
        <w:r>
          <w:rPr>
            <w:noProof/>
            <w:webHidden/>
          </w:rPr>
          <w:fldChar w:fldCharType="separate"/>
        </w:r>
        <w:r>
          <w:rPr>
            <w:noProof/>
            <w:webHidden/>
          </w:rPr>
          <w:t>56</w:t>
        </w:r>
        <w:r>
          <w:rPr>
            <w:noProof/>
            <w:webHidden/>
          </w:rPr>
          <w:fldChar w:fldCharType="end"/>
        </w:r>
      </w:hyperlink>
    </w:p>
    <w:p w14:paraId="3B821C6C" w14:textId="38D590C2" w:rsidR="00617B86" w:rsidRDefault="00617B86">
      <w:pPr>
        <w:pStyle w:val="TOC3"/>
        <w:tabs>
          <w:tab w:val="right" w:leader="dot" w:pos="9350"/>
        </w:tabs>
        <w:rPr>
          <w:rFonts w:asciiTheme="minorHAnsi" w:eastAsiaTheme="minorEastAsia" w:hAnsiTheme="minorHAnsi"/>
          <w:noProof/>
          <w:sz w:val="22"/>
        </w:rPr>
      </w:pPr>
      <w:hyperlink w:anchor="_Toc224458901" w:history="1">
        <w:r w:rsidRPr="005C0FB4">
          <w:rPr>
            <w:rStyle w:val="Hyperlink"/>
            <w:rFonts w:cs="Times New Roman"/>
            <w:noProof/>
          </w:rPr>
          <w:t>Data Source</w:t>
        </w:r>
        <w:r>
          <w:rPr>
            <w:noProof/>
            <w:webHidden/>
          </w:rPr>
          <w:tab/>
        </w:r>
        <w:r>
          <w:rPr>
            <w:noProof/>
            <w:webHidden/>
          </w:rPr>
          <w:fldChar w:fldCharType="begin"/>
        </w:r>
        <w:r>
          <w:rPr>
            <w:noProof/>
            <w:webHidden/>
          </w:rPr>
          <w:instrText xml:space="preserve"> PAGEREF _Toc224458901 \h </w:instrText>
        </w:r>
        <w:r>
          <w:rPr>
            <w:noProof/>
            <w:webHidden/>
          </w:rPr>
        </w:r>
        <w:r>
          <w:rPr>
            <w:noProof/>
            <w:webHidden/>
          </w:rPr>
          <w:fldChar w:fldCharType="separate"/>
        </w:r>
        <w:r>
          <w:rPr>
            <w:noProof/>
            <w:webHidden/>
          </w:rPr>
          <w:t>59</w:t>
        </w:r>
        <w:r>
          <w:rPr>
            <w:noProof/>
            <w:webHidden/>
          </w:rPr>
          <w:fldChar w:fldCharType="end"/>
        </w:r>
      </w:hyperlink>
    </w:p>
    <w:p w14:paraId="09892471" w14:textId="71810FE9" w:rsidR="00617B86" w:rsidRDefault="00617B86">
      <w:pPr>
        <w:pStyle w:val="TOC3"/>
        <w:tabs>
          <w:tab w:val="right" w:leader="dot" w:pos="9350"/>
        </w:tabs>
        <w:rPr>
          <w:rFonts w:asciiTheme="minorHAnsi" w:eastAsiaTheme="minorEastAsia" w:hAnsiTheme="minorHAnsi"/>
          <w:noProof/>
          <w:sz w:val="22"/>
        </w:rPr>
      </w:pPr>
      <w:hyperlink w:anchor="_Toc224458902" w:history="1">
        <w:r w:rsidRPr="005C0FB4">
          <w:rPr>
            <w:rStyle w:val="Hyperlink"/>
            <w:rFonts w:cs="Times New Roman"/>
            <w:noProof/>
          </w:rPr>
          <w:t>Population</w:t>
        </w:r>
        <w:r>
          <w:rPr>
            <w:noProof/>
            <w:webHidden/>
          </w:rPr>
          <w:tab/>
        </w:r>
        <w:r>
          <w:rPr>
            <w:noProof/>
            <w:webHidden/>
          </w:rPr>
          <w:fldChar w:fldCharType="begin"/>
        </w:r>
        <w:r>
          <w:rPr>
            <w:noProof/>
            <w:webHidden/>
          </w:rPr>
          <w:instrText xml:space="preserve"> PAGEREF _Toc224458902 \h </w:instrText>
        </w:r>
        <w:r>
          <w:rPr>
            <w:noProof/>
            <w:webHidden/>
          </w:rPr>
        </w:r>
        <w:r>
          <w:rPr>
            <w:noProof/>
            <w:webHidden/>
          </w:rPr>
          <w:fldChar w:fldCharType="separate"/>
        </w:r>
        <w:r>
          <w:rPr>
            <w:noProof/>
            <w:webHidden/>
          </w:rPr>
          <w:t>59</w:t>
        </w:r>
        <w:r>
          <w:rPr>
            <w:noProof/>
            <w:webHidden/>
          </w:rPr>
          <w:fldChar w:fldCharType="end"/>
        </w:r>
      </w:hyperlink>
    </w:p>
    <w:p w14:paraId="6D47C848" w14:textId="0E382555" w:rsidR="00617B86" w:rsidRDefault="00617B86">
      <w:pPr>
        <w:pStyle w:val="TOC3"/>
        <w:tabs>
          <w:tab w:val="right" w:leader="dot" w:pos="9350"/>
        </w:tabs>
        <w:rPr>
          <w:rFonts w:asciiTheme="minorHAnsi" w:eastAsiaTheme="minorEastAsia" w:hAnsiTheme="minorHAnsi"/>
          <w:noProof/>
          <w:sz w:val="22"/>
        </w:rPr>
      </w:pPr>
      <w:hyperlink w:anchor="_Toc224458903" w:history="1">
        <w:r w:rsidRPr="005C0FB4">
          <w:rPr>
            <w:rStyle w:val="Hyperlink"/>
            <w:rFonts w:cs="Times New Roman"/>
            <w:noProof/>
          </w:rPr>
          <w:t>Data Collection</w:t>
        </w:r>
        <w:r>
          <w:rPr>
            <w:noProof/>
            <w:webHidden/>
          </w:rPr>
          <w:tab/>
        </w:r>
        <w:r>
          <w:rPr>
            <w:noProof/>
            <w:webHidden/>
          </w:rPr>
          <w:fldChar w:fldCharType="begin"/>
        </w:r>
        <w:r>
          <w:rPr>
            <w:noProof/>
            <w:webHidden/>
          </w:rPr>
          <w:instrText xml:space="preserve"> PAGEREF _Toc224458903 \h </w:instrText>
        </w:r>
        <w:r>
          <w:rPr>
            <w:noProof/>
            <w:webHidden/>
          </w:rPr>
        </w:r>
        <w:r>
          <w:rPr>
            <w:noProof/>
            <w:webHidden/>
          </w:rPr>
          <w:fldChar w:fldCharType="separate"/>
        </w:r>
        <w:r>
          <w:rPr>
            <w:noProof/>
            <w:webHidden/>
          </w:rPr>
          <w:t>60</w:t>
        </w:r>
        <w:r>
          <w:rPr>
            <w:noProof/>
            <w:webHidden/>
          </w:rPr>
          <w:fldChar w:fldCharType="end"/>
        </w:r>
      </w:hyperlink>
    </w:p>
    <w:p w14:paraId="75DB6C10" w14:textId="37AFD20F" w:rsidR="00617B86" w:rsidRDefault="00617B86">
      <w:pPr>
        <w:pStyle w:val="TOC3"/>
        <w:tabs>
          <w:tab w:val="right" w:leader="dot" w:pos="9350"/>
        </w:tabs>
        <w:rPr>
          <w:rFonts w:asciiTheme="minorHAnsi" w:eastAsiaTheme="minorEastAsia" w:hAnsiTheme="minorHAnsi"/>
          <w:noProof/>
          <w:sz w:val="22"/>
        </w:rPr>
      </w:pPr>
      <w:hyperlink w:anchor="_Toc224458904" w:history="1">
        <w:r w:rsidRPr="005C0FB4">
          <w:rPr>
            <w:rStyle w:val="Hyperlink"/>
            <w:rFonts w:cs="Times New Roman"/>
            <w:noProof/>
          </w:rPr>
          <w:t>Data Analysis</w:t>
        </w:r>
        <w:r>
          <w:rPr>
            <w:noProof/>
            <w:webHidden/>
          </w:rPr>
          <w:tab/>
        </w:r>
        <w:r>
          <w:rPr>
            <w:noProof/>
            <w:webHidden/>
          </w:rPr>
          <w:fldChar w:fldCharType="begin"/>
        </w:r>
        <w:r>
          <w:rPr>
            <w:noProof/>
            <w:webHidden/>
          </w:rPr>
          <w:instrText xml:space="preserve"> PAGEREF _Toc224458904 \h </w:instrText>
        </w:r>
        <w:r>
          <w:rPr>
            <w:noProof/>
            <w:webHidden/>
          </w:rPr>
        </w:r>
        <w:r>
          <w:rPr>
            <w:noProof/>
            <w:webHidden/>
          </w:rPr>
          <w:fldChar w:fldCharType="separate"/>
        </w:r>
        <w:r>
          <w:rPr>
            <w:noProof/>
            <w:webHidden/>
          </w:rPr>
          <w:t>60</w:t>
        </w:r>
        <w:r>
          <w:rPr>
            <w:noProof/>
            <w:webHidden/>
          </w:rPr>
          <w:fldChar w:fldCharType="end"/>
        </w:r>
      </w:hyperlink>
    </w:p>
    <w:p w14:paraId="7DCD9007" w14:textId="5E2A20D1" w:rsidR="00617B86" w:rsidRDefault="00617B86">
      <w:pPr>
        <w:pStyle w:val="TOC3"/>
        <w:tabs>
          <w:tab w:val="right" w:leader="dot" w:pos="9350"/>
        </w:tabs>
        <w:rPr>
          <w:rFonts w:asciiTheme="minorHAnsi" w:eastAsiaTheme="minorEastAsia" w:hAnsiTheme="minorHAnsi"/>
          <w:noProof/>
          <w:sz w:val="22"/>
        </w:rPr>
      </w:pPr>
      <w:hyperlink w:anchor="_Toc224458905" w:history="1">
        <w:r w:rsidRPr="005C0FB4">
          <w:rPr>
            <w:rStyle w:val="Hyperlink"/>
            <w:rFonts w:cs="Times New Roman"/>
            <w:noProof/>
          </w:rPr>
          <w:t>Ethical Considerations</w:t>
        </w:r>
        <w:r>
          <w:rPr>
            <w:noProof/>
            <w:webHidden/>
          </w:rPr>
          <w:tab/>
        </w:r>
        <w:r>
          <w:rPr>
            <w:noProof/>
            <w:webHidden/>
          </w:rPr>
          <w:fldChar w:fldCharType="begin"/>
        </w:r>
        <w:r>
          <w:rPr>
            <w:noProof/>
            <w:webHidden/>
          </w:rPr>
          <w:instrText xml:space="preserve"> PAGEREF _Toc224458905 \h </w:instrText>
        </w:r>
        <w:r>
          <w:rPr>
            <w:noProof/>
            <w:webHidden/>
          </w:rPr>
        </w:r>
        <w:r>
          <w:rPr>
            <w:noProof/>
            <w:webHidden/>
          </w:rPr>
          <w:fldChar w:fldCharType="separate"/>
        </w:r>
        <w:r>
          <w:rPr>
            <w:noProof/>
            <w:webHidden/>
          </w:rPr>
          <w:t>61</w:t>
        </w:r>
        <w:r>
          <w:rPr>
            <w:noProof/>
            <w:webHidden/>
          </w:rPr>
          <w:fldChar w:fldCharType="end"/>
        </w:r>
      </w:hyperlink>
    </w:p>
    <w:p w14:paraId="521B643D" w14:textId="029B40FE" w:rsidR="00617B86" w:rsidRDefault="00617B86">
      <w:pPr>
        <w:pStyle w:val="TOC3"/>
        <w:tabs>
          <w:tab w:val="right" w:leader="dot" w:pos="9350"/>
        </w:tabs>
        <w:rPr>
          <w:rFonts w:asciiTheme="minorHAnsi" w:eastAsiaTheme="minorEastAsia" w:hAnsiTheme="minorHAnsi"/>
          <w:noProof/>
          <w:sz w:val="22"/>
        </w:rPr>
      </w:pPr>
      <w:hyperlink w:anchor="_Toc224458906" w:history="1">
        <w:r w:rsidRPr="005C0FB4">
          <w:rPr>
            <w:rStyle w:val="Hyperlink"/>
            <w:rFonts w:cs="Times New Roman"/>
            <w:noProof/>
          </w:rPr>
          <w:t>Chapter Summary</w:t>
        </w:r>
        <w:r>
          <w:rPr>
            <w:noProof/>
            <w:webHidden/>
          </w:rPr>
          <w:tab/>
        </w:r>
        <w:r>
          <w:rPr>
            <w:noProof/>
            <w:webHidden/>
          </w:rPr>
          <w:fldChar w:fldCharType="begin"/>
        </w:r>
        <w:r>
          <w:rPr>
            <w:noProof/>
            <w:webHidden/>
          </w:rPr>
          <w:instrText xml:space="preserve"> PAGEREF _Toc224458906 \h </w:instrText>
        </w:r>
        <w:r>
          <w:rPr>
            <w:noProof/>
            <w:webHidden/>
          </w:rPr>
        </w:r>
        <w:r>
          <w:rPr>
            <w:noProof/>
            <w:webHidden/>
          </w:rPr>
          <w:fldChar w:fldCharType="separate"/>
        </w:r>
        <w:r>
          <w:rPr>
            <w:noProof/>
            <w:webHidden/>
          </w:rPr>
          <w:t>62</w:t>
        </w:r>
        <w:r>
          <w:rPr>
            <w:noProof/>
            <w:webHidden/>
          </w:rPr>
          <w:fldChar w:fldCharType="end"/>
        </w:r>
      </w:hyperlink>
    </w:p>
    <w:p w14:paraId="7FE15033" w14:textId="198F0859" w:rsidR="00617B86" w:rsidRDefault="00617B86">
      <w:pPr>
        <w:pStyle w:val="TOC2"/>
        <w:tabs>
          <w:tab w:val="right" w:leader="dot" w:pos="9350"/>
        </w:tabs>
        <w:rPr>
          <w:rFonts w:asciiTheme="minorHAnsi" w:eastAsiaTheme="minorEastAsia" w:hAnsiTheme="minorHAnsi"/>
          <w:noProof/>
          <w:sz w:val="22"/>
        </w:rPr>
      </w:pPr>
      <w:hyperlink w:anchor="_Toc224458907" w:history="1">
        <w:r w:rsidRPr="005C0FB4">
          <w:rPr>
            <w:rStyle w:val="Hyperlink"/>
            <w:noProof/>
          </w:rPr>
          <w:t>Chapter 4. Findings</w:t>
        </w:r>
        <w:r>
          <w:rPr>
            <w:noProof/>
            <w:webHidden/>
          </w:rPr>
          <w:tab/>
        </w:r>
        <w:r>
          <w:rPr>
            <w:noProof/>
            <w:webHidden/>
          </w:rPr>
          <w:fldChar w:fldCharType="begin"/>
        </w:r>
        <w:r>
          <w:rPr>
            <w:noProof/>
            <w:webHidden/>
          </w:rPr>
          <w:instrText xml:space="preserve"> PAGEREF _Toc224458907 \h </w:instrText>
        </w:r>
        <w:r>
          <w:rPr>
            <w:noProof/>
            <w:webHidden/>
          </w:rPr>
        </w:r>
        <w:r>
          <w:rPr>
            <w:noProof/>
            <w:webHidden/>
          </w:rPr>
          <w:fldChar w:fldCharType="separate"/>
        </w:r>
        <w:r>
          <w:rPr>
            <w:noProof/>
            <w:webHidden/>
          </w:rPr>
          <w:t>63</w:t>
        </w:r>
        <w:r>
          <w:rPr>
            <w:noProof/>
            <w:webHidden/>
          </w:rPr>
          <w:fldChar w:fldCharType="end"/>
        </w:r>
      </w:hyperlink>
    </w:p>
    <w:p w14:paraId="01CE9EC8" w14:textId="7477904D" w:rsidR="00617B86" w:rsidRDefault="00617B86">
      <w:pPr>
        <w:pStyle w:val="TOC3"/>
        <w:tabs>
          <w:tab w:val="right" w:leader="dot" w:pos="9350"/>
        </w:tabs>
        <w:rPr>
          <w:rFonts w:asciiTheme="minorHAnsi" w:eastAsiaTheme="minorEastAsia" w:hAnsiTheme="minorHAnsi"/>
          <w:noProof/>
          <w:sz w:val="22"/>
        </w:rPr>
      </w:pPr>
      <w:hyperlink w:anchor="_Toc224458908" w:history="1">
        <w:r w:rsidRPr="005C0FB4">
          <w:rPr>
            <w:rStyle w:val="Hyperlink"/>
            <w:rFonts w:cs="Times New Roman"/>
            <w:noProof/>
          </w:rPr>
          <w:t>Population</w:t>
        </w:r>
        <w:r>
          <w:rPr>
            <w:noProof/>
            <w:webHidden/>
          </w:rPr>
          <w:tab/>
        </w:r>
        <w:r>
          <w:rPr>
            <w:noProof/>
            <w:webHidden/>
          </w:rPr>
          <w:fldChar w:fldCharType="begin"/>
        </w:r>
        <w:r>
          <w:rPr>
            <w:noProof/>
            <w:webHidden/>
          </w:rPr>
          <w:instrText xml:space="preserve"> PAGEREF _Toc224458908 \h </w:instrText>
        </w:r>
        <w:r>
          <w:rPr>
            <w:noProof/>
            <w:webHidden/>
          </w:rPr>
        </w:r>
        <w:r>
          <w:rPr>
            <w:noProof/>
            <w:webHidden/>
          </w:rPr>
          <w:fldChar w:fldCharType="separate"/>
        </w:r>
        <w:r>
          <w:rPr>
            <w:noProof/>
            <w:webHidden/>
          </w:rPr>
          <w:t>63</w:t>
        </w:r>
        <w:r>
          <w:rPr>
            <w:noProof/>
            <w:webHidden/>
          </w:rPr>
          <w:fldChar w:fldCharType="end"/>
        </w:r>
      </w:hyperlink>
    </w:p>
    <w:p w14:paraId="6EAE01A5" w14:textId="1169A6CD" w:rsidR="00617B86" w:rsidRDefault="00617B86">
      <w:pPr>
        <w:pStyle w:val="TOC3"/>
        <w:tabs>
          <w:tab w:val="right" w:leader="dot" w:pos="9350"/>
        </w:tabs>
        <w:rPr>
          <w:rFonts w:asciiTheme="minorHAnsi" w:eastAsiaTheme="minorEastAsia" w:hAnsiTheme="minorHAnsi"/>
          <w:noProof/>
          <w:sz w:val="22"/>
        </w:rPr>
      </w:pPr>
      <w:hyperlink w:anchor="_Toc224458909" w:history="1">
        <w:r w:rsidRPr="005C0FB4">
          <w:rPr>
            <w:rStyle w:val="Hyperlink"/>
            <w:noProof/>
          </w:rPr>
          <w:t>Dual Enrollment Analysis</w:t>
        </w:r>
        <w:r>
          <w:rPr>
            <w:noProof/>
            <w:webHidden/>
          </w:rPr>
          <w:tab/>
        </w:r>
        <w:r>
          <w:rPr>
            <w:noProof/>
            <w:webHidden/>
          </w:rPr>
          <w:fldChar w:fldCharType="begin"/>
        </w:r>
        <w:r>
          <w:rPr>
            <w:noProof/>
            <w:webHidden/>
          </w:rPr>
          <w:instrText xml:space="preserve"> PAGEREF _Toc224458909 \h </w:instrText>
        </w:r>
        <w:r>
          <w:rPr>
            <w:noProof/>
            <w:webHidden/>
          </w:rPr>
        </w:r>
        <w:r>
          <w:rPr>
            <w:noProof/>
            <w:webHidden/>
          </w:rPr>
          <w:fldChar w:fldCharType="separate"/>
        </w:r>
        <w:r>
          <w:rPr>
            <w:noProof/>
            <w:webHidden/>
          </w:rPr>
          <w:t>65</w:t>
        </w:r>
        <w:r>
          <w:rPr>
            <w:noProof/>
            <w:webHidden/>
          </w:rPr>
          <w:fldChar w:fldCharType="end"/>
        </w:r>
      </w:hyperlink>
    </w:p>
    <w:p w14:paraId="2482107B" w14:textId="43F4E71B" w:rsidR="00617B86" w:rsidRDefault="00617B86">
      <w:pPr>
        <w:pStyle w:val="TOC3"/>
        <w:tabs>
          <w:tab w:val="right" w:leader="dot" w:pos="9350"/>
        </w:tabs>
        <w:rPr>
          <w:rFonts w:asciiTheme="minorHAnsi" w:eastAsiaTheme="minorEastAsia" w:hAnsiTheme="minorHAnsi"/>
          <w:noProof/>
          <w:sz w:val="22"/>
        </w:rPr>
      </w:pPr>
      <w:hyperlink w:anchor="_Toc224458910" w:history="1">
        <w:r w:rsidRPr="005C0FB4">
          <w:rPr>
            <w:rStyle w:val="Hyperlink"/>
            <w:rFonts w:cs="Times New Roman"/>
            <w:noProof/>
          </w:rPr>
          <w:t>Research Question 1</w:t>
        </w:r>
        <w:r>
          <w:rPr>
            <w:noProof/>
            <w:webHidden/>
          </w:rPr>
          <w:tab/>
        </w:r>
        <w:r>
          <w:rPr>
            <w:noProof/>
            <w:webHidden/>
          </w:rPr>
          <w:fldChar w:fldCharType="begin"/>
        </w:r>
        <w:r>
          <w:rPr>
            <w:noProof/>
            <w:webHidden/>
          </w:rPr>
          <w:instrText xml:space="preserve"> PAGEREF _Toc224458910 \h </w:instrText>
        </w:r>
        <w:r>
          <w:rPr>
            <w:noProof/>
            <w:webHidden/>
          </w:rPr>
        </w:r>
        <w:r>
          <w:rPr>
            <w:noProof/>
            <w:webHidden/>
          </w:rPr>
          <w:fldChar w:fldCharType="separate"/>
        </w:r>
        <w:r>
          <w:rPr>
            <w:noProof/>
            <w:webHidden/>
          </w:rPr>
          <w:t>65</w:t>
        </w:r>
        <w:r>
          <w:rPr>
            <w:noProof/>
            <w:webHidden/>
          </w:rPr>
          <w:fldChar w:fldCharType="end"/>
        </w:r>
      </w:hyperlink>
    </w:p>
    <w:p w14:paraId="2CBEFAB4" w14:textId="465FC502" w:rsidR="00617B86" w:rsidRDefault="00617B86">
      <w:pPr>
        <w:pStyle w:val="TOC3"/>
        <w:tabs>
          <w:tab w:val="right" w:leader="dot" w:pos="9350"/>
        </w:tabs>
        <w:rPr>
          <w:rFonts w:asciiTheme="minorHAnsi" w:eastAsiaTheme="minorEastAsia" w:hAnsiTheme="minorHAnsi"/>
          <w:noProof/>
          <w:sz w:val="22"/>
        </w:rPr>
      </w:pPr>
      <w:hyperlink w:anchor="_Toc224458911" w:history="1">
        <w:r w:rsidRPr="005C0FB4">
          <w:rPr>
            <w:rStyle w:val="Hyperlink"/>
            <w:rFonts w:cs="Times New Roman"/>
            <w:noProof/>
          </w:rPr>
          <w:t>Research Question 2</w:t>
        </w:r>
        <w:r>
          <w:rPr>
            <w:noProof/>
            <w:webHidden/>
          </w:rPr>
          <w:tab/>
        </w:r>
        <w:r>
          <w:rPr>
            <w:noProof/>
            <w:webHidden/>
          </w:rPr>
          <w:fldChar w:fldCharType="begin"/>
        </w:r>
        <w:r>
          <w:rPr>
            <w:noProof/>
            <w:webHidden/>
          </w:rPr>
          <w:instrText xml:space="preserve"> PAGEREF _Toc224458911 \h </w:instrText>
        </w:r>
        <w:r>
          <w:rPr>
            <w:noProof/>
            <w:webHidden/>
          </w:rPr>
        </w:r>
        <w:r>
          <w:rPr>
            <w:noProof/>
            <w:webHidden/>
          </w:rPr>
          <w:fldChar w:fldCharType="separate"/>
        </w:r>
        <w:r>
          <w:rPr>
            <w:noProof/>
            <w:webHidden/>
          </w:rPr>
          <w:t>67</w:t>
        </w:r>
        <w:r>
          <w:rPr>
            <w:noProof/>
            <w:webHidden/>
          </w:rPr>
          <w:fldChar w:fldCharType="end"/>
        </w:r>
      </w:hyperlink>
    </w:p>
    <w:p w14:paraId="35A491D3" w14:textId="698705B0" w:rsidR="00617B86" w:rsidRDefault="00617B86">
      <w:pPr>
        <w:pStyle w:val="TOC3"/>
        <w:tabs>
          <w:tab w:val="right" w:leader="dot" w:pos="9350"/>
        </w:tabs>
        <w:rPr>
          <w:rFonts w:asciiTheme="minorHAnsi" w:eastAsiaTheme="minorEastAsia" w:hAnsiTheme="minorHAnsi"/>
          <w:noProof/>
          <w:sz w:val="22"/>
        </w:rPr>
      </w:pPr>
      <w:hyperlink w:anchor="_Toc224458912" w:history="1">
        <w:r w:rsidRPr="005C0FB4">
          <w:rPr>
            <w:rStyle w:val="Hyperlink"/>
            <w:rFonts w:cs="Times New Roman"/>
            <w:noProof/>
          </w:rPr>
          <w:t>Research Question 3</w:t>
        </w:r>
        <w:r>
          <w:rPr>
            <w:noProof/>
            <w:webHidden/>
          </w:rPr>
          <w:tab/>
        </w:r>
        <w:r>
          <w:rPr>
            <w:noProof/>
            <w:webHidden/>
          </w:rPr>
          <w:fldChar w:fldCharType="begin"/>
        </w:r>
        <w:r>
          <w:rPr>
            <w:noProof/>
            <w:webHidden/>
          </w:rPr>
          <w:instrText xml:space="preserve"> PAGEREF _Toc224458912 \h </w:instrText>
        </w:r>
        <w:r>
          <w:rPr>
            <w:noProof/>
            <w:webHidden/>
          </w:rPr>
        </w:r>
        <w:r>
          <w:rPr>
            <w:noProof/>
            <w:webHidden/>
          </w:rPr>
          <w:fldChar w:fldCharType="separate"/>
        </w:r>
        <w:r>
          <w:rPr>
            <w:noProof/>
            <w:webHidden/>
          </w:rPr>
          <w:t>69</w:t>
        </w:r>
        <w:r>
          <w:rPr>
            <w:noProof/>
            <w:webHidden/>
          </w:rPr>
          <w:fldChar w:fldCharType="end"/>
        </w:r>
      </w:hyperlink>
    </w:p>
    <w:p w14:paraId="057B1B9B" w14:textId="770AAEBA" w:rsidR="00617B86" w:rsidRDefault="00617B86">
      <w:pPr>
        <w:pStyle w:val="TOC3"/>
        <w:tabs>
          <w:tab w:val="right" w:leader="dot" w:pos="9350"/>
        </w:tabs>
        <w:rPr>
          <w:rFonts w:asciiTheme="minorHAnsi" w:eastAsiaTheme="minorEastAsia" w:hAnsiTheme="minorHAnsi"/>
          <w:noProof/>
          <w:sz w:val="22"/>
        </w:rPr>
      </w:pPr>
      <w:hyperlink w:anchor="_Toc224458913" w:history="1">
        <w:r w:rsidRPr="005C0FB4">
          <w:rPr>
            <w:rStyle w:val="Hyperlink"/>
            <w:rFonts w:cs="Times New Roman"/>
            <w:noProof/>
          </w:rPr>
          <w:t>Research Question 4</w:t>
        </w:r>
        <w:r>
          <w:rPr>
            <w:noProof/>
            <w:webHidden/>
          </w:rPr>
          <w:tab/>
        </w:r>
        <w:r>
          <w:rPr>
            <w:noProof/>
            <w:webHidden/>
          </w:rPr>
          <w:fldChar w:fldCharType="begin"/>
        </w:r>
        <w:r>
          <w:rPr>
            <w:noProof/>
            <w:webHidden/>
          </w:rPr>
          <w:instrText xml:space="preserve"> PAGEREF _Toc224458913 \h </w:instrText>
        </w:r>
        <w:r>
          <w:rPr>
            <w:noProof/>
            <w:webHidden/>
          </w:rPr>
        </w:r>
        <w:r>
          <w:rPr>
            <w:noProof/>
            <w:webHidden/>
          </w:rPr>
          <w:fldChar w:fldCharType="separate"/>
        </w:r>
        <w:r>
          <w:rPr>
            <w:noProof/>
            <w:webHidden/>
          </w:rPr>
          <w:t>71</w:t>
        </w:r>
        <w:r>
          <w:rPr>
            <w:noProof/>
            <w:webHidden/>
          </w:rPr>
          <w:fldChar w:fldCharType="end"/>
        </w:r>
      </w:hyperlink>
    </w:p>
    <w:p w14:paraId="5EDEB584" w14:textId="05D45EB9" w:rsidR="00617B86" w:rsidRDefault="00617B86">
      <w:pPr>
        <w:pStyle w:val="TOC3"/>
        <w:tabs>
          <w:tab w:val="right" w:leader="dot" w:pos="9350"/>
        </w:tabs>
        <w:rPr>
          <w:rFonts w:asciiTheme="minorHAnsi" w:eastAsiaTheme="minorEastAsia" w:hAnsiTheme="minorHAnsi"/>
          <w:noProof/>
          <w:sz w:val="22"/>
        </w:rPr>
      </w:pPr>
      <w:hyperlink w:anchor="_Toc224458914" w:history="1">
        <w:r w:rsidRPr="005C0FB4">
          <w:rPr>
            <w:rStyle w:val="Hyperlink"/>
            <w:rFonts w:cs="Times New Roman"/>
            <w:noProof/>
          </w:rPr>
          <w:t>Research Question 5</w:t>
        </w:r>
        <w:r>
          <w:rPr>
            <w:noProof/>
            <w:webHidden/>
          </w:rPr>
          <w:tab/>
        </w:r>
        <w:r>
          <w:rPr>
            <w:noProof/>
            <w:webHidden/>
          </w:rPr>
          <w:fldChar w:fldCharType="begin"/>
        </w:r>
        <w:r>
          <w:rPr>
            <w:noProof/>
            <w:webHidden/>
          </w:rPr>
          <w:instrText xml:space="preserve"> PAGEREF _Toc224458914 \h </w:instrText>
        </w:r>
        <w:r>
          <w:rPr>
            <w:noProof/>
            <w:webHidden/>
          </w:rPr>
        </w:r>
        <w:r>
          <w:rPr>
            <w:noProof/>
            <w:webHidden/>
          </w:rPr>
          <w:fldChar w:fldCharType="separate"/>
        </w:r>
        <w:r>
          <w:rPr>
            <w:noProof/>
            <w:webHidden/>
          </w:rPr>
          <w:t>73</w:t>
        </w:r>
        <w:r>
          <w:rPr>
            <w:noProof/>
            <w:webHidden/>
          </w:rPr>
          <w:fldChar w:fldCharType="end"/>
        </w:r>
      </w:hyperlink>
    </w:p>
    <w:p w14:paraId="20E6693D" w14:textId="00E11F9C" w:rsidR="00617B86" w:rsidRDefault="00617B86">
      <w:pPr>
        <w:pStyle w:val="TOC3"/>
        <w:tabs>
          <w:tab w:val="right" w:leader="dot" w:pos="9350"/>
        </w:tabs>
        <w:rPr>
          <w:rFonts w:asciiTheme="minorHAnsi" w:eastAsiaTheme="minorEastAsia" w:hAnsiTheme="minorHAnsi"/>
          <w:noProof/>
          <w:sz w:val="22"/>
        </w:rPr>
      </w:pPr>
      <w:hyperlink w:anchor="_Toc224458915" w:history="1">
        <w:r w:rsidRPr="005C0FB4">
          <w:rPr>
            <w:rStyle w:val="Hyperlink"/>
            <w:rFonts w:cs="Times New Roman"/>
            <w:noProof/>
          </w:rPr>
          <w:t>Research Question 6</w:t>
        </w:r>
        <w:r>
          <w:rPr>
            <w:noProof/>
            <w:webHidden/>
          </w:rPr>
          <w:tab/>
        </w:r>
        <w:r>
          <w:rPr>
            <w:noProof/>
            <w:webHidden/>
          </w:rPr>
          <w:fldChar w:fldCharType="begin"/>
        </w:r>
        <w:r>
          <w:rPr>
            <w:noProof/>
            <w:webHidden/>
          </w:rPr>
          <w:instrText xml:space="preserve"> PAGEREF _Toc224458915 \h </w:instrText>
        </w:r>
        <w:r>
          <w:rPr>
            <w:noProof/>
            <w:webHidden/>
          </w:rPr>
        </w:r>
        <w:r>
          <w:rPr>
            <w:noProof/>
            <w:webHidden/>
          </w:rPr>
          <w:fldChar w:fldCharType="separate"/>
        </w:r>
        <w:r>
          <w:rPr>
            <w:noProof/>
            <w:webHidden/>
          </w:rPr>
          <w:t>75</w:t>
        </w:r>
        <w:r>
          <w:rPr>
            <w:noProof/>
            <w:webHidden/>
          </w:rPr>
          <w:fldChar w:fldCharType="end"/>
        </w:r>
      </w:hyperlink>
    </w:p>
    <w:p w14:paraId="42600C4C" w14:textId="39AC1435" w:rsidR="00617B86" w:rsidRDefault="00617B86">
      <w:pPr>
        <w:pStyle w:val="TOC3"/>
        <w:tabs>
          <w:tab w:val="right" w:leader="dot" w:pos="9350"/>
        </w:tabs>
        <w:rPr>
          <w:rFonts w:asciiTheme="minorHAnsi" w:eastAsiaTheme="minorEastAsia" w:hAnsiTheme="minorHAnsi"/>
          <w:noProof/>
          <w:sz w:val="22"/>
        </w:rPr>
      </w:pPr>
      <w:hyperlink w:anchor="_Toc224458916" w:history="1">
        <w:r w:rsidRPr="005C0FB4">
          <w:rPr>
            <w:rStyle w:val="Hyperlink"/>
            <w:rFonts w:cs="Times New Roman"/>
            <w:noProof/>
          </w:rPr>
          <w:t>Research Question 7</w:t>
        </w:r>
        <w:r>
          <w:rPr>
            <w:noProof/>
            <w:webHidden/>
          </w:rPr>
          <w:tab/>
        </w:r>
        <w:r>
          <w:rPr>
            <w:noProof/>
            <w:webHidden/>
          </w:rPr>
          <w:fldChar w:fldCharType="begin"/>
        </w:r>
        <w:r>
          <w:rPr>
            <w:noProof/>
            <w:webHidden/>
          </w:rPr>
          <w:instrText xml:space="preserve"> PAGEREF _Toc224458916 \h </w:instrText>
        </w:r>
        <w:r>
          <w:rPr>
            <w:noProof/>
            <w:webHidden/>
          </w:rPr>
        </w:r>
        <w:r>
          <w:rPr>
            <w:noProof/>
            <w:webHidden/>
          </w:rPr>
          <w:fldChar w:fldCharType="separate"/>
        </w:r>
        <w:r>
          <w:rPr>
            <w:noProof/>
            <w:webHidden/>
          </w:rPr>
          <w:t>77</w:t>
        </w:r>
        <w:r>
          <w:rPr>
            <w:noProof/>
            <w:webHidden/>
          </w:rPr>
          <w:fldChar w:fldCharType="end"/>
        </w:r>
      </w:hyperlink>
    </w:p>
    <w:p w14:paraId="79C48FDB" w14:textId="731C9651" w:rsidR="00617B86" w:rsidRDefault="00617B86">
      <w:pPr>
        <w:pStyle w:val="TOC3"/>
        <w:tabs>
          <w:tab w:val="right" w:leader="dot" w:pos="9350"/>
        </w:tabs>
        <w:rPr>
          <w:rFonts w:asciiTheme="minorHAnsi" w:eastAsiaTheme="minorEastAsia" w:hAnsiTheme="minorHAnsi"/>
          <w:noProof/>
          <w:sz w:val="22"/>
        </w:rPr>
      </w:pPr>
      <w:hyperlink w:anchor="_Toc224458917" w:history="1">
        <w:r w:rsidRPr="005C0FB4">
          <w:rPr>
            <w:rStyle w:val="Hyperlink"/>
            <w:rFonts w:cs="Times New Roman"/>
            <w:noProof/>
          </w:rPr>
          <w:t>Chapter Summary</w:t>
        </w:r>
        <w:r>
          <w:rPr>
            <w:noProof/>
            <w:webHidden/>
          </w:rPr>
          <w:tab/>
        </w:r>
        <w:r>
          <w:rPr>
            <w:noProof/>
            <w:webHidden/>
          </w:rPr>
          <w:fldChar w:fldCharType="begin"/>
        </w:r>
        <w:r>
          <w:rPr>
            <w:noProof/>
            <w:webHidden/>
          </w:rPr>
          <w:instrText xml:space="preserve"> PAGEREF _Toc224458917 \h </w:instrText>
        </w:r>
        <w:r>
          <w:rPr>
            <w:noProof/>
            <w:webHidden/>
          </w:rPr>
        </w:r>
        <w:r>
          <w:rPr>
            <w:noProof/>
            <w:webHidden/>
          </w:rPr>
          <w:fldChar w:fldCharType="separate"/>
        </w:r>
        <w:r>
          <w:rPr>
            <w:noProof/>
            <w:webHidden/>
          </w:rPr>
          <w:t>79</w:t>
        </w:r>
        <w:r>
          <w:rPr>
            <w:noProof/>
            <w:webHidden/>
          </w:rPr>
          <w:fldChar w:fldCharType="end"/>
        </w:r>
      </w:hyperlink>
    </w:p>
    <w:p w14:paraId="04CFB302" w14:textId="10F53587" w:rsidR="00617B86" w:rsidRDefault="00617B86">
      <w:pPr>
        <w:pStyle w:val="TOC2"/>
        <w:tabs>
          <w:tab w:val="right" w:leader="dot" w:pos="9350"/>
        </w:tabs>
        <w:rPr>
          <w:rFonts w:asciiTheme="minorHAnsi" w:eastAsiaTheme="minorEastAsia" w:hAnsiTheme="minorHAnsi"/>
          <w:noProof/>
          <w:sz w:val="22"/>
        </w:rPr>
      </w:pPr>
      <w:hyperlink w:anchor="_Toc224458918" w:history="1">
        <w:r w:rsidRPr="005C0FB4">
          <w:rPr>
            <w:rStyle w:val="Hyperlink"/>
            <w:noProof/>
          </w:rPr>
          <w:t>Chapter 5. Summary, Discussion, and Recommendations</w:t>
        </w:r>
        <w:r>
          <w:rPr>
            <w:noProof/>
            <w:webHidden/>
          </w:rPr>
          <w:tab/>
        </w:r>
        <w:r>
          <w:rPr>
            <w:noProof/>
            <w:webHidden/>
          </w:rPr>
          <w:fldChar w:fldCharType="begin"/>
        </w:r>
        <w:r>
          <w:rPr>
            <w:noProof/>
            <w:webHidden/>
          </w:rPr>
          <w:instrText xml:space="preserve"> PAGEREF _Toc224458918 \h </w:instrText>
        </w:r>
        <w:r>
          <w:rPr>
            <w:noProof/>
            <w:webHidden/>
          </w:rPr>
        </w:r>
        <w:r>
          <w:rPr>
            <w:noProof/>
            <w:webHidden/>
          </w:rPr>
          <w:fldChar w:fldCharType="separate"/>
        </w:r>
        <w:r>
          <w:rPr>
            <w:noProof/>
            <w:webHidden/>
          </w:rPr>
          <w:t>80</w:t>
        </w:r>
        <w:r>
          <w:rPr>
            <w:noProof/>
            <w:webHidden/>
          </w:rPr>
          <w:fldChar w:fldCharType="end"/>
        </w:r>
      </w:hyperlink>
    </w:p>
    <w:p w14:paraId="2F12FD50" w14:textId="6CB24506" w:rsidR="00617B86" w:rsidRDefault="00617B86">
      <w:pPr>
        <w:pStyle w:val="TOC3"/>
        <w:tabs>
          <w:tab w:val="right" w:leader="dot" w:pos="9350"/>
        </w:tabs>
        <w:rPr>
          <w:rFonts w:asciiTheme="minorHAnsi" w:eastAsiaTheme="minorEastAsia" w:hAnsiTheme="minorHAnsi"/>
          <w:noProof/>
          <w:sz w:val="22"/>
        </w:rPr>
      </w:pPr>
      <w:hyperlink w:anchor="_Toc224458919" w:history="1">
        <w:r w:rsidRPr="005C0FB4">
          <w:rPr>
            <w:rStyle w:val="Hyperlink"/>
            <w:rFonts w:cs="Times New Roman"/>
            <w:noProof/>
          </w:rPr>
          <w:t>Discussion</w:t>
        </w:r>
        <w:r>
          <w:rPr>
            <w:noProof/>
            <w:webHidden/>
          </w:rPr>
          <w:tab/>
        </w:r>
        <w:r>
          <w:rPr>
            <w:noProof/>
            <w:webHidden/>
          </w:rPr>
          <w:fldChar w:fldCharType="begin"/>
        </w:r>
        <w:r>
          <w:rPr>
            <w:noProof/>
            <w:webHidden/>
          </w:rPr>
          <w:instrText xml:space="preserve"> PAGEREF _Toc224458919 \h </w:instrText>
        </w:r>
        <w:r>
          <w:rPr>
            <w:noProof/>
            <w:webHidden/>
          </w:rPr>
        </w:r>
        <w:r>
          <w:rPr>
            <w:noProof/>
            <w:webHidden/>
          </w:rPr>
          <w:fldChar w:fldCharType="separate"/>
        </w:r>
        <w:r>
          <w:rPr>
            <w:noProof/>
            <w:webHidden/>
          </w:rPr>
          <w:t>80</w:t>
        </w:r>
        <w:r>
          <w:rPr>
            <w:noProof/>
            <w:webHidden/>
          </w:rPr>
          <w:fldChar w:fldCharType="end"/>
        </w:r>
      </w:hyperlink>
    </w:p>
    <w:p w14:paraId="068CB8A3" w14:textId="567E1B95" w:rsidR="00617B86" w:rsidRDefault="00617B86">
      <w:pPr>
        <w:pStyle w:val="TOC3"/>
        <w:tabs>
          <w:tab w:val="right" w:leader="dot" w:pos="9350"/>
        </w:tabs>
        <w:rPr>
          <w:rFonts w:asciiTheme="minorHAnsi" w:eastAsiaTheme="minorEastAsia" w:hAnsiTheme="minorHAnsi"/>
          <w:noProof/>
          <w:sz w:val="22"/>
        </w:rPr>
      </w:pPr>
      <w:hyperlink w:anchor="_Toc224458920" w:history="1">
        <w:r w:rsidRPr="005C0FB4">
          <w:rPr>
            <w:rStyle w:val="Hyperlink"/>
            <w:rFonts w:cs="Times New Roman"/>
            <w:noProof/>
          </w:rPr>
          <w:t>Recommendations for Practice</w:t>
        </w:r>
        <w:r>
          <w:rPr>
            <w:noProof/>
            <w:webHidden/>
          </w:rPr>
          <w:tab/>
        </w:r>
        <w:r>
          <w:rPr>
            <w:noProof/>
            <w:webHidden/>
          </w:rPr>
          <w:fldChar w:fldCharType="begin"/>
        </w:r>
        <w:r>
          <w:rPr>
            <w:noProof/>
            <w:webHidden/>
          </w:rPr>
          <w:instrText xml:space="preserve"> PAGEREF _Toc224458920 \h </w:instrText>
        </w:r>
        <w:r>
          <w:rPr>
            <w:noProof/>
            <w:webHidden/>
          </w:rPr>
        </w:r>
        <w:r>
          <w:rPr>
            <w:noProof/>
            <w:webHidden/>
          </w:rPr>
          <w:fldChar w:fldCharType="separate"/>
        </w:r>
        <w:r>
          <w:rPr>
            <w:noProof/>
            <w:webHidden/>
          </w:rPr>
          <w:t>87</w:t>
        </w:r>
        <w:r>
          <w:rPr>
            <w:noProof/>
            <w:webHidden/>
          </w:rPr>
          <w:fldChar w:fldCharType="end"/>
        </w:r>
      </w:hyperlink>
    </w:p>
    <w:p w14:paraId="5F93FF22" w14:textId="6C30EF6A" w:rsidR="00617B86" w:rsidRDefault="00617B86">
      <w:pPr>
        <w:pStyle w:val="TOC3"/>
        <w:tabs>
          <w:tab w:val="right" w:leader="dot" w:pos="9350"/>
        </w:tabs>
        <w:rPr>
          <w:rFonts w:asciiTheme="minorHAnsi" w:eastAsiaTheme="minorEastAsia" w:hAnsiTheme="minorHAnsi"/>
          <w:noProof/>
          <w:sz w:val="22"/>
        </w:rPr>
      </w:pPr>
      <w:hyperlink w:anchor="_Toc224458921" w:history="1">
        <w:r w:rsidRPr="005C0FB4">
          <w:rPr>
            <w:rStyle w:val="Hyperlink"/>
            <w:rFonts w:cs="Times New Roman"/>
            <w:noProof/>
          </w:rPr>
          <w:t>Recommendations for Policy</w:t>
        </w:r>
        <w:r>
          <w:rPr>
            <w:noProof/>
            <w:webHidden/>
          </w:rPr>
          <w:tab/>
        </w:r>
        <w:r>
          <w:rPr>
            <w:noProof/>
            <w:webHidden/>
          </w:rPr>
          <w:fldChar w:fldCharType="begin"/>
        </w:r>
        <w:r>
          <w:rPr>
            <w:noProof/>
            <w:webHidden/>
          </w:rPr>
          <w:instrText xml:space="preserve"> PAGEREF _Toc224458921 \h </w:instrText>
        </w:r>
        <w:r>
          <w:rPr>
            <w:noProof/>
            <w:webHidden/>
          </w:rPr>
        </w:r>
        <w:r>
          <w:rPr>
            <w:noProof/>
            <w:webHidden/>
          </w:rPr>
          <w:fldChar w:fldCharType="separate"/>
        </w:r>
        <w:r>
          <w:rPr>
            <w:noProof/>
            <w:webHidden/>
          </w:rPr>
          <w:t>88</w:t>
        </w:r>
        <w:r>
          <w:rPr>
            <w:noProof/>
            <w:webHidden/>
          </w:rPr>
          <w:fldChar w:fldCharType="end"/>
        </w:r>
      </w:hyperlink>
    </w:p>
    <w:p w14:paraId="4BAFA4DA" w14:textId="373EC89F" w:rsidR="00617B86" w:rsidRDefault="00617B86">
      <w:pPr>
        <w:pStyle w:val="TOC3"/>
        <w:tabs>
          <w:tab w:val="right" w:leader="dot" w:pos="9350"/>
        </w:tabs>
        <w:rPr>
          <w:rFonts w:asciiTheme="minorHAnsi" w:eastAsiaTheme="minorEastAsia" w:hAnsiTheme="minorHAnsi"/>
          <w:noProof/>
          <w:sz w:val="22"/>
        </w:rPr>
      </w:pPr>
      <w:hyperlink w:anchor="_Toc224458922" w:history="1">
        <w:r w:rsidRPr="005C0FB4">
          <w:rPr>
            <w:rStyle w:val="Hyperlink"/>
            <w:rFonts w:cs="Times New Roman"/>
            <w:noProof/>
          </w:rPr>
          <w:t>Recommendations for Further Research</w:t>
        </w:r>
        <w:r>
          <w:rPr>
            <w:noProof/>
            <w:webHidden/>
          </w:rPr>
          <w:tab/>
        </w:r>
        <w:r>
          <w:rPr>
            <w:noProof/>
            <w:webHidden/>
          </w:rPr>
          <w:fldChar w:fldCharType="begin"/>
        </w:r>
        <w:r>
          <w:rPr>
            <w:noProof/>
            <w:webHidden/>
          </w:rPr>
          <w:instrText xml:space="preserve"> PAGEREF _Toc224458922 \h </w:instrText>
        </w:r>
        <w:r>
          <w:rPr>
            <w:noProof/>
            <w:webHidden/>
          </w:rPr>
        </w:r>
        <w:r>
          <w:rPr>
            <w:noProof/>
            <w:webHidden/>
          </w:rPr>
          <w:fldChar w:fldCharType="separate"/>
        </w:r>
        <w:r>
          <w:rPr>
            <w:noProof/>
            <w:webHidden/>
          </w:rPr>
          <w:t>89</w:t>
        </w:r>
        <w:r>
          <w:rPr>
            <w:noProof/>
            <w:webHidden/>
          </w:rPr>
          <w:fldChar w:fldCharType="end"/>
        </w:r>
      </w:hyperlink>
    </w:p>
    <w:p w14:paraId="2C540F72" w14:textId="32364800" w:rsidR="00617B86" w:rsidRDefault="00617B86">
      <w:pPr>
        <w:pStyle w:val="TOC3"/>
        <w:tabs>
          <w:tab w:val="right" w:leader="dot" w:pos="9350"/>
        </w:tabs>
        <w:rPr>
          <w:rFonts w:asciiTheme="minorHAnsi" w:eastAsiaTheme="minorEastAsia" w:hAnsiTheme="minorHAnsi"/>
          <w:noProof/>
          <w:sz w:val="22"/>
        </w:rPr>
      </w:pPr>
      <w:hyperlink w:anchor="_Toc224458923" w:history="1">
        <w:r w:rsidRPr="005C0FB4">
          <w:rPr>
            <w:rStyle w:val="Hyperlink"/>
            <w:rFonts w:cs="Times New Roman"/>
            <w:noProof/>
          </w:rPr>
          <w:t>Chapter Summary</w:t>
        </w:r>
        <w:r>
          <w:rPr>
            <w:noProof/>
            <w:webHidden/>
          </w:rPr>
          <w:tab/>
        </w:r>
        <w:r>
          <w:rPr>
            <w:noProof/>
            <w:webHidden/>
          </w:rPr>
          <w:fldChar w:fldCharType="begin"/>
        </w:r>
        <w:r>
          <w:rPr>
            <w:noProof/>
            <w:webHidden/>
          </w:rPr>
          <w:instrText xml:space="preserve"> PAGEREF _Toc224458923 \h </w:instrText>
        </w:r>
        <w:r>
          <w:rPr>
            <w:noProof/>
            <w:webHidden/>
          </w:rPr>
        </w:r>
        <w:r>
          <w:rPr>
            <w:noProof/>
            <w:webHidden/>
          </w:rPr>
          <w:fldChar w:fldCharType="separate"/>
        </w:r>
        <w:r>
          <w:rPr>
            <w:noProof/>
            <w:webHidden/>
          </w:rPr>
          <w:t>90</w:t>
        </w:r>
        <w:r>
          <w:rPr>
            <w:noProof/>
            <w:webHidden/>
          </w:rPr>
          <w:fldChar w:fldCharType="end"/>
        </w:r>
      </w:hyperlink>
    </w:p>
    <w:p w14:paraId="2FE1507F" w14:textId="2099676C" w:rsidR="00617B86" w:rsidRDefault="00617B86">
      <w:pPr>
        <w:pStyle w:val="TOC2"/>
        <w:tabs>
          <w:tab w:val="right" w:leader="dot" w:pos="9350"/>
        </w:tabs>
        <w:rPr>
          <w:rFonts w:asciiTheme="minorHAnsi" w:eastAsiaTheme="minorEastAsia" w:hAnsiTheme="minorHAnsi"/>
          <w:noProof/>
          <w:sz w:val="22"/>
        </w:rPr>
      </w:pPr>
      <w:hyperlink w:anchor="_Toc224458924" w:history="1">
        <w:r w:rsidRPr="005C0FB4">
          <w:rPr>
            <w:rStyle w:val="Hyperlink"/>
            <w:noProof/>
          </w:rPr>
          <w:t>References</w:t>
        </w:r>
        <w:r>
          <w:rPr>
            <w:noProof/>
            <w:webHidden/>
          </w:rPr>
          <w:tab/>
        </w:r>
        <w:r>
          <w:rPr>
            <w:noProof/>
            <w:webHidden/>
          </w:rPr>
          <w:fldChar w:fldCharType="begin"/>
        </w:r>
        <w:r>
          <w:rPr>
            <w:noProof/>
            <w:webHidden/>
          </w:rPr>
          <w:instrText xml:space="preserve"> PAGEREF _Toc224458924 \h </w:instrText>
        </w:r>
        <w:r>
          <w:rPr>
            <w:noProof/>
            <w:webHidden/>
          </w:rPr>
        </w:r>
        <w:r>
          <w:rPr>
            <w:noProof/>
            <w:webHidden/>
          </w:rPr>
          <w:fldChar w:fldCharType="separate"/>
        </w:r>
        <w:r>
          <w:rPr>
            <w:noProof/>
            <w:webHidden/>
          </w:rPr>
          <w:t>92</w:t>
        </w:r>
        <w:r>
          <w:rPr>
            <w:noProof/>
            <w:webHidden/>
          </w:rPr>
          <w:fldChar w:fldCharType="end"/>
        </w:r>
      </w:hyperlink>
    </w:p>
    <w:p w14:paraId="71D9E7EF" w14:textId="07524554" w:rsidR="00617B86" w:rsidRDefault="00617B86">
      <w:pPr>
        <w:pStyle w:val="TOC1"/>
        <w:tabs>
          <w:tab w:val="right" w:leader="dot" w:pos="9350"/>
        </w:tabs>
        <w:rPr>
          <w:rFonts w:asciiTheme="minorHAnsi" w:eastAsiaTheme="minorEastAsia" w:hAnsiTheme="minorHAnsi"/>
          <w:caps w:val="0"/>
          <w:noProof/>
          <w:sz w:val="22"/>
        </w:rPr>
      </w:pPr>
      <w:hyperlink w:anchor="_Toc224458925" w:history="1">
        <w:r w:rsidRPr="005C0FB4">
          <w:rPr>
            <w:rStyle w:val="Hyperlink"/>
            <w:noProof/>
          </w:rPr>
          <w:t>appendices</w:t>
        </w:r>
        <w:r>
          <w:rPr>
            <w:noProof/>
            <w:webHidden/>
          </w:rPr>
          <w:tab/>
        </w:r>
        <w:r>
          <w:rPr>
            <w:noProof/>
            <w:webHidden/>
          </w:rPr>
          <w:fldChar w:fldCharType="begin"/>
        </w:r>
        <w:r>
          <w:rPr>
            <w:noProof/>
            <w:webHidden/>
          </w:rPr>
          <w:instrText xml:space="preserve"> PAGEREF _Toc224458925 \h </w:instrText>
        </w:r>
        <w:r>
          <w:rPr>
            <w:noProof/>
            <w:webHidden/>
          </w:rPr>
        </w:r>
        <w:r>
          <w:rPr>
            <w:noProof/>
            <w:webHidden/>
          </w:rPr>
          <w:fldChar w:fldCharType="separate"/>
        </w:r>
        <w:r>
          <w:rPr>
            <w:noProof/>
            <w:webHidden/>
          </w:rPr>
          <w:t>112</w:t>
        </w:r>
        <w:r>
          <w:rPr>
            <w:noProof/>
            <w:webHidden/>
          </w:rPr>
          <w:fldChar w:fldCharType="end"/>
        </w:r>
      </w:hyperlink>
    </w:p>
    <w:p w14:paraId="4FA3A6D2" w14:textId="329AD2F0" w:rsidR="00617B86" w:rsidRDefault="00617B86">
      <w:pPr>
        <w:pStyle w:val="TOC2"/>
        <w:tabs>
          <w:tab w:val="right" w:leader="dot" w:pos="9350"/>
        </w:tabs>
        <w:rPr>
          <w:rFonts w:asciiTheme="minorHAnsi" w:eastAsiaTheme="minorEastAsia" w:hAnsiTheme="minorHAnsi"/>
          <w:noProof/>
          <w:sz w:val="22"/>
        </w:rPr>
      </w:pPr>
      <w:hyperlink w:anchor="_Toc224458926" w:history="1">
        <w:r w:rsidRPr="005C0FB4">
          <w:rPr>
            <w:rStyle w:val="Hyperlink"/>
            <w:noProof/>
          </w:rPr>
          <w:t>Appendix A: Title of Appendix</w:t>
        </w:r>
        <w:r>
          <w:rPr>
            <w:noProof/>
            <w:webHidden/>
          </w:rPr>
          <w:tab/>
        </w:r>
        <w:r>
          <w:rPr>
            <w:noProof/>
            <w:webHidden/>
          </w:rPr>
          <w:fldChar w:fldCharType="begin"/>
        </w:r>
        <w:r>
          <w:rPr>
            <w:noProof/>
            <w:webHidden/>
          </w:rPr>
          <w:instrText xml:space="preserve"> PAGEREF _Toc224458926 \h </w:instrText>
        </w:r>
        <w:r>
          <w:rPr>
            <w:noProof/>
            <w:webHidden/>
          </w:rPr>
        </w:r>
        <w:r>
          <w:rPr>
            <w:noProof/>
            <w:webHidden/>
          </w:rPr>
          <w:fldChar w:fldCharType="separate"/>
        </w:r>
        <w:r>
          <w:rPr>
            <w:noProof/>
            <w:webHidden/>
          </w:rPr>
          <w:t>112</w:t>
        </w:r>
        <w:r>
          <w:rPr>
            <w:noProof/>
            <w:webHidden/>
          </w:rPr>
          <w:fldChar w:fldCharType="end"/>
        </w:r>
      </w:hyperlink>
    </w:p>
    <w:p w14:paraId="5443AED0" w14:textId="42D886A3" w:rsidR="00617B86" w:rsidRDefault="00617B86">
      <w:pPr>
        <w:pStyle w:val="TOC1"/>
        <w:tabs>
          <w:tab w:val="right" w:leader="dot" w:pos="9350"/>
        </w:tabs>
        <w:rPr>
          <w:rFonts w:asciiTheme="minorHAnsi" w:eastAsiaTheme="minorEastAsia" w:hAnsiTheme="minorHAnsi"/>
          <w:caps w:val="0"/>
          <w:noProof/>
          <w:sz w:val="22"/>
        </w:rPr>
      </w:pPr>
      <w:hyperlink w:anchor="_Toc224458927" w:history="1">
        <w:r w:rsidRPr="005C0FB4">
          <w:rPr>
            <w:rStyle w:val="Hyperlink"/>
            <w:noProof/>
          </w:rPr>
          <w:t>VITA</w:t>
        </w:r>
        <w:r>
          <w:rPr>
            <w:noProof/>
            <w:webHidden/>
          </w:rPr>
          <w:tab/>
        </w:r>
        <w:r>
          <w:rPr>
            <w:noProof/>
            <w:webHidden/>
          </w:rPr>
          <w:fldChar w:fldCharType="begin"/>
        </w:r>
        <w:r>
          <w:rPr>
            <w:noProof/>
            <w:webHidden/>
          </w:rPr>
          <w:instrText xml:space="preserve"> PAGEREF _Toc224458927 \h </w:instrText>
        </w:r>
        <w:r>
          <w:rPr>
            <w:noProof/>
            <w:webHidden/>
          </w:rPr>
        </w:r>
        <w:r>
          <w:rPr>
            <w:noProof/>
            <w:webHidden/>
          </w:rPr>
          <w:fldChar w:fldCharType="separate"/>
        </w:r>
        <w:r>
          <w:rPr>
            <w:noProof/>
            <w:webHidden/>
          </w:rPr>
          <w:t>113</w:t>
        </w:r>
        <w:r>
          <w:rPr>
            <w:noProof/>
            <w:webHidden/>
          </w:rPr>
          <w:fldChar w:fldCharType="end"/>
        </w:r>
      </w:hyperlink>
    </w:p>
    <w:p w14:paraId="2D607F7E" w14:textId="43964A50" w:rsidR="00F40AF2" w:rsidRDefault="0055022F" w:rsidP="00F40AF2">
      <w:pPr>
        <w:spacing w:after="160" w:line="259" w:lineRule="auto"/>
      </w:pPr>
      <w:r>
        <w:fldChar w:fldCharType="end"/>
      </w:r>
    </w:p>
    <w:p w14:paraId="6A07D70B" w14:textId="37937ABA" w:rsidR="00E614B2" w:rsidRPr="008927A1" w:rsidRDefault="00E614B2">
      <w:pPr>
        <w:spacing w:after="160" w:line="259" w:lineRule="auto"/>
        <w:rPr>
          <w:sz w:val="22"/>
        </w:rPr>
      </w:pPr>
      <w:r w:rsidRPr="008927A1">
        <w:rPr>
          <w:sz w:val="22"/>
        </w:rPr>
        <w:br w:type="page"/>
      </w:r>
    </w:p>
    <w:p w14:paraId="49D1ABC5" w14:textId="77777777" w:rsidR="004C5331" w:rsidRDefault="004C5331" w:rsidP="004C5331">
      <w:pPr>
        <w:pStyle w:val="Heading1"/>
      </w:pPr>
      <w:bookmarkStart w:id="10" w:name="_Toc224458879"/>
      <w:r>
        <w:lastRenderedPageBreak/>
        <w:t>List of tables</w:t>
      </w:r>
      <w:bookmarkEnd w:id="10"/>
    </w:p>
    <w:p w14:paraId="49C1746C" w14:textId="3ECE95AC" w:rsidR="00617B86" w:rsidRDefault="00EB027E">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224458928" w:history="1">
        <w:r w:rsidR="00617B86" w:rsidRPr="00B42252">
          <w:rPr>
            <w:rStyle w:val="Hyperlink"/>
            <w:noProof/>
          </w:rPr>
          <w:t>Table 1. Characteristics of Study Population by Dual Enrollment Status</w:t>
        </w:r>
        <w:r w:rsidR="00617B86">
          <w:rPr>
            <w:noProof/>
            <w:webHidden/>
          </w:rPr>
          <w:tab/>
        </w:r>
        <w:r w:rsidR="00617B86">
          <w:rPr>
            <w:noProof/>
            <w:webHidden/>
          </w:rPr>
          <w:fldChar w:fldCharType="begin"/>
        </w:r>
        <w:r w:rsidR="00617B86">
          <w:rPr>
            <w:noProof/>
            <w:webHidden/>
          </w:rPr>
          <w:instrText xml:space="preserve"> PAGEREF _Toc224458928 \h </w:instrText>
        </w:r>
        <w:r w:rsidR="00617B86">
          <w:rPr>
            <w:noProof/>
            <w:webHidden/>
          </w:rPr>
        </w:r>
        <w:r w:rsidR="00617B86">
          <w:rPr>
            <w:noProof/>
            <w:webHidden/>
          </w:rPr>
          <w:fldChar w:fldCharType="separate"/>
        </w:r>
        <w:r w:rsidR="00617B86">
          <w:rPr>
            <w:noProof/>
            <w:webHidden/>
          </w:rPr>
          <w:t>64</w:t>
        </w:r>
        <w:r w:rsidR="00617B86">
          <w:rPr>
            <w:noProof/>
            <w:webHidden/>
          </w:rPr>
          <w:fldChar w:fldCharType="end"/>
        </w:r>
      </w:hyperlink>
    </w:p>
    <w:p w14:paraId="1D9C3C10" w14:textId="5FA73AF0" w:rsidR="00617B86" w:rsidRDefault="00617B86">
      <w:pPr>
        <w:pStyle w:val="TableofFigures"/>
        <w:tabs>
          <w:tab w:val="right" w:leader="dot" w:pos="9350"/>
        </w:tabs>
        <w:rPr>
          <w:rFonts w:asciiTheme="minorHAnsi" w:eastAsiaTheme="minorEastAsia" w:hAnsiTheme="minorHAnsi"/>
          <w:noProof/>
          <w:sz w:val="22"/>
        </w:rPr>
      </w:pPr>
      <w:hyperlink w:anchor="_Toc224458929" w:history="1">
        <w:r w:rsidRPr="00B42252">
          <w:rPr>
            <w:rStyle w:val="Hyperlink"/>
            <w:noProof/>
          </w:rPr>
          <w:t>Table 2. Graduates by Dual Enrollment Status</w:t>
        </w:r>
        <w:r>
          <w:rPr>
            <w:noProof/>
            <w:webHidden/>
          </w:rPr>
          <w:tab/>
        </w:r>
        <w:r>
          <w:rPr>
            <w:noProof/>
            <w:webHidden/>
          </w:rPr>
          <w:fldChar w:fldCharType="begin"/>
        </w:r>
        <w:r>
          <w:rPr>
            <w:noProof/>
            <w:webHidden/>
          </w:rPr>
          <w:instrText xml:space="preserve"> PAGEREF _Toc224458929 \h </w:instrText>
        </w:r>
        <w:r>
          <w:rPr>
            <w:noProof/>
            <w:webHidden/>
          </w:rPr>
        </w:r>
        <w:r>
          <w:rPr>
            <w:noProof/>
            <w:webHidden/>
          </w:rPr>
          <w:fldChar w:fldCharType="separate"/>
        </w:r>
        <w:r>
          <w:rPr>
            <w:noProof/>
            <w:webHidden/>
          </w:rPr>
          <w:t>66</w:t>
        </w:r>
        <w:r>
          <w:rPr>
            <w:noProof/>
            <w:webHidden/>
          </w:rPr>
          <w:fldChar w:fldCharType="end"/>
        </w:r>
      </w:hyperlink>
    </w:p>
    <w:p w14:paraId="0DB8E9B6" w14:textId="19771C2C" w:rsidR="00617B86" w:rsidRDefault="00617B86">
      <w:pPr>
        <w:pStyle w:val="TableofFigures"/>
        <w:tabs>
          <w:tab w:val="right" w:leader="dot" w:pos="9350"/>
        </w:tabs>
        <w:rPr>
          <w:rFonts w:asciiTheme="minorHAnsi" w:eastAsiaTheme="minorEastAsia" w:hAnsiTheme="minorHAnsi"/>
          <w:noProof/>
          <w:sz w:val="22"/>
        </w:rPr>
      </w:pPr>
      <w:hyperlink w:anchor="_Toc224458930" w:history="1">
        <w:r w:rsidRPr="00B42252">
          <w:rPr>
            <w:rStyle w:val="Hyperlink"/>
            <w:noProof/>
          </w:rPr>
          <w:t>Table 3. End of Freshman Year GPA</w:t>
        </w:r>
        <w:r>
          <w:rPr>
            <w:noProof/>
            <w:webHidden/>
          </w:rPr>
          <w:tab/>
        </w:r>
        <w:r>
          <w:rPr>
            <w:noProof/>
            <w:webHidden/>
          </w:rPr>
          <w:fldChar w:fldCharType="begin"/>
        </w:r>
        <w:r>
          <w:rPr>
            <w:noProof/>
            <w:webHidden/>
          </w:rPr>
          <w:instrText xml:space="preserve"> PAGEREF _Toc224458930 \h </w:instrText>
        </w:r>
        <w:r>
          <w:rPr>
            <w:noProof/>
            <w:webHidden/>
          </w:rPr>
        </w:r>
        <w:r>
          <w:rPr>
            <w:noProof/>
            <w:webHidden/>
          </w:rPr>
          <w:fldChar w:fldCharType="separate"/>
        </w:r>
        <w:r>
          <w:rPr>
            <w:noProof/>
            <w:webHidden/>
          </w:rPr>
          <w:t>68</w:t>
        </w:r>
        <w:r>
          <w:rPr>
            <w:noProof/>
            <w:webHidden/>
          </w:rPr>
          <w:fldChar w:fldCharType="end"/>
        </w:r>
      </w:hyperlink>
    </w:p>
    <w:p w14:paraId="09EAB1EE" w14:textId="3847BEF2" w:rsidR="00617B86" w:rsidRDefault="00617B86">
      <w:pPr>
        <w:pStyle w:val="TableofFigures"/>
        <w:tabs>
          <w:tab w:val="right" w:leader="dot" w:pos="9350"/>
        </w:tabs>
        <w:rPr>
          <w:rFonts w:asciiTheme="minorHAnsi" w:eastAsiaTheme="minorEastAsia" w:hAnsiTheme="minorHAnsi"/>
          <w:noProof/>
          <w:sz w:val="22"/>
        </w:rPr>
      </w:pPr>
      <w:hyperlink w:anchor="_Toc224458931" w:history="1">
        <w:r w:rsidRPr="00B42252">
          <w:rPr>
            <w:rStyle w:val="Hyperlink"/>
            <w:noProof/>
          </w:rPr>
          <w:t>able 4. Enrollment Status by Dual Enrollment Status</w:t>
        </w:r>
        <w:r>
          <w:rPr>
            <w:noProof/>
            <w:webHidden/>
          </w:rPr>
          <w:tab/>
        </w:r>
        <w:r>
          <w:rPr>
            <w:noProof/>
            <w:webHidden/>
          </w:rPr>
          <w:fldChar w:fldCharType="begin"/>
        </w:r>
        <w:r>
          <w:rPr>
            <w:noProof/>
            <w:webHidden/>
          </w:rPr>
          <w:instrText xml:space="preserve"> PAGEREF _Toc224458931 \h </w:instrText>
        </w:r>
        <w:r>
          <w:rPr>
            <w:noProof/>
            <w:webHidden/>
          </w:rPr>
        </w:r>
        <w:r>
          <w:rPr>
            <w:noProof/>
            <w:webHidden/>
          </w:rPr>
          <w:fldChar w:fldCharType="separate"/>
        </w:r>
        <w:r>
          <w:rPr>
            <w:noProof/>
            <w:webHidden/>
          </w:rPr>
          <w:t>70</w:t>
        </w:r>
        <w:r>
          <w:rPr>
            <w:noProof/>
            <w:webHidden/>
          </w:rPr>
          <w:fldChar w:fldCharType="end"/>
        </w:r>
      </w:hyperlink>
    </w:p>
    <w:p w14:paraId="0BB89D87" w14:textId="761322C4" w:rsidR="00617B86" w:rsidRDefault="00617B86">
      <w:pPr>
        <w:pStyle w:val="TableofFigures"/>
        <w:tabs>
          <w:tab w:val="right" w:leader="dot" w:pos="9350"/>
        </w:tabs>
        <w:rPr>
          <w:rFonts w:asciiTheme="minorHAnsi" w:eastAsiaTheme="minorEastAsia" w:hAnsiTheme="minorHAnsi"/>
          <w:noProof/>
          <w:sz w:val="22"/>
        </w:rPr>
      </w:pPr>
      <w:hyperlink w:anchor="_Toc224458932" w:history="1">
        <w:r w:rsidRPr="00B42252">
          <w:rPr>
            <w:rStyle w:val="Hyperlink"/>
            <w:noProof/>
          </w:rPr>
          <w:t>Table 5. Fall to Spring Retention Rate by Dual Enrollment Status</w:t>
        </w:r>
        <w:r>
          <w:rPr>
            <w:noProof/>
            <w:webHidden/>
          </w:rPr>
          <w:tab/>
        </w:r>
        <w:r>
          <w:rPr>
            <w:noProof/>
            <w:webHidden/>
          </w:rPr>
          <w:fldChar w:fldCharType="begin"/>
        </w:r>
        <w:r>
          <w:rPr>
            <w:noProof/>
            <w:webHidden/>
          </w:rPr>
          <w:instrText xml:space="preserve"> PAGEREF _Toc224458932 \h </w:instrText>
        </w:r>
        <w:r>
          <w:rPr>
            <w:noProof/>
            <w:webHidden/>
          </w:rPr>
        </w:r>
        <w:r>
          <w:rPr>
            <w:noProof/>
            <w:webHidden/>
          </w:rPr>
          <w:fldChar w:fldCharType="separate"/>
        </w:r>
        <w:r>
          <w:rPr>
            <w:noProof/>
            <w:webHidden/>
          </w:rPr>
          <w:t>72</w:t>
        </w:r>
        <w:r>
          <w:rPr>
            <w:noProof/>
            <w:webHidden/>
          </w:rPr>
          <w:fldChar w:fldCharType="end"/>
        </w:r>
      </w:hyperlink>
    </w:p>
    <w:p w14:paraId="44800202" w14:textId="016742CC" w:rsidR="00617B86" w:rsidRDefault="00617B86">
      <w:pPr>
        <w:pStyle w:val="TableofFigures"/>
        <w:tabs>
          <w:tab w:val="right" w:leader="dot" w:pos="9350"/>
        </w:tabs>
        <w:rPr>
          <w:rFonts w:asciiTheme="minorHAnsi" w:eastAsiaTheme="minorEastAsia" w:hAnsiTheme="minorHAnsi"/>
          <w:noProof/>
          <w:sz w:val="22"/>
        </w:rPr>
      </w:pPr>
      <w:hyperlink w:anchor="_Toc224458933" w:history="1">
        <w:r w:rsidRPr="00B42252">
          <w:rPr>
            <w:rStyle w:val="Hyperlink"/>
            <w:noProof/>
          </w:rPr>
          <w:t>Table 6. Fall to Fall Retention Rate by Dual Enrollment Status</w:t>
        </w:r>
        <w:r>
          <w:rPr>
            <w:noProof/>
            <w:webHidden/>
          </w:rPr>
          <w:tab/>
        </w:r>
        <w:r>
          <w:rPr>
            <w:noProof/>
            <w:webHidden/>
          </w:rPr>
          <w:fldChar w:fldCharType="begin"/>
        </w:r>
        <w:r>
          <w:rPr>
            <w:noProof/>
            <w:webHidden/>
          </w:rPr>
          <w:instrText xml:space="preserve"> PAGEREF _Toc224458933 \h </w:instrText>
        </w:r>
        <w:r>
          <w:rPr>
            <w:noProof/>
            <w:webHidden/>
          </w:rPr>
        </w:r>
        <w:r>
          <w:rPr>
            <w:noProof/>
            <w:webHidden/>
          </w:rPr>
          <w:fldChar w:fldCharType="separate"/>
        </w:r>
        <w:r>
          <w:rPr>
            <w:noProof/>
            <w:webHidden/>
          </w:rPr>
          <w:t>74</w:t>
        </w:r>
        <w:r>
          <w:rPr>
            <w:noProof/>
            <w:webHidden/>
          </w:rPr>
          <w:fldChar w:fldCharType="end"/>
        </w:r>
      </w:hyperlink>
    </w:p>
    <w:p w14:paraId="7DD9E8E1" w14:textId="37798AA6" w:rsidR="00617B86" w:rsidRDefault="00617B86">
      <w:pPr>
        <w:pStyle w:val="TableofFigures"/>
        <w:tabs>
          <w:tab w:val="right" w:leader="dot" w:pos="9350"/>
        </w:tabs>
        <w:rPr>
          <w:rFonts w:asciiTheme="minorHAnsi" w:eastAsiaTheme="minorEastAsia" w:hAnsiTheme="minorHAnsi"/>
          <w:noProof/>
          <w:sz w:val="22"/>
        </w:rPr>
      </w:pPr>
      <w:hyperlink w:anchor="_Toc224458934" w:history="1">
        <w:r w:rsidRPr="00B42252">
          <w:rPr>
            <w:rStyle w:val="Hyperlink"/>
            <w:rFonts w:cs="Times New Roman"/>
            <w:noProof/>
          </w:rPr>
          <w:t>Table</w:t>
        </w:r>
        <w:r w:rsidRPr="00B42252">
          <w:rPr>
            <w:rStyle w:val="Hyperlink"/>
            <w:noProof/>
          </w:rPr>
          <w:t xml:space="preserve"> 7. Thirty or more Credit Hours by Dual Enrollment Status</w:t>
        </w:r>
        <w:r>
          <w:rPr>
            <w:noProof/>
            <w:webHidden/>
          </w:rPr>
          <w:tab/>
        </w:r>
        <w:r>
          <w:rPr>
            <w:noProof/>
            <w:webHidden/>
          </w:rPr>
          <w:fldChar w:fldCharType="begin"/>
        </w:r>
        <w:r>
          <w:rPr>
            <w:noProof/>
            <w:webHidden/>
          </w:rPr>
          <w:instrText xml:space="preserve"> PAGEREF _Toc224458934 \h </w:instrText>
        </w:r>
        <w:r>
          <w:rPr>
            <w:noProof/>
            <w:webHidden/>
          </w:rPr>
        </w:r>
        <w:r>
          <w:rPr>
            <w:noProof/>
            <w:webHidden/>
          </w:rPr>
          <w:fldChar w:fldCharType="separate"/>
        </w:r>
        <w:r>
          <w:rPr>
            <w:noProof/>
            <w:webHidden/>
          </w:rPr>
          <w:t>76</w:t>
        </w:r>
        <w:r>
          <w:rPr>
            <w:noProof/>
            <w:webHidden/>
          </w:rPr>
          <w:fldChar w:fldCharType="end"/>
        </w:r>
      </w:hyperlink>
    </w:p>
    <w:p w14:paraId="2BC7FDFE" w14:textId="5DD40F11" w:rsidR="00617B86" w:rsidRDefault="00617B86">
      <w:pPr>
        <w:pStyle w:val="TableofFigures"/>
        <w:tabs>
          <w:tab w:val="right" w:leader="dot" w:pos="9350"/>
        </w:tabs>
        <w:rPr>
          <w:rFonts w:asciiTheme="minorHAnsi" w:eastAsiaTheme="minorEastAsia" w:hAnsiTheme="minorHAnsi"/>
          <w:noProof/>
          <w:sz w:val="22"/>
        </w:rPr>
      </w:pPr>
      <w:hyperlink w:anchor="_Toc224458935" w:history="1">
        <w:r w:rsidRPr="00B42252">
          <w:rPr>
            <w:rStyle w:val="Hyperlink"/>
            <w:noProof/>
          </w:rPr>
          <w:t>Table 8. Academic Credits Earned at the End of Freshman Year by Dual Enrollment Status</w:t>
        </w:r>
        <w:r>
          <w:rPr>
            <w:noProof/>
            <w:webHidden/>
          </w:rPr>
          <w:tab/>
        </w:r>
        <w:r>
          <w:rPr>
            <w:noProof/>
            <w:webHidden/>
          </w:rPr>
          <w:fldChar w:fldCharType="begin"/>
        </w:r>
        <w:r>
          <w:rPr>
            <w:noProof/>
            <w:webHidden/>
          </w:rPr>
          <w:instrText xml:space="preserve"> PAGEREF _Toc224458935 \h </w:instrText>
        </w:r>
        <w:r>
          <w:rPr>
            <w:noProof/>
            <w:webHidden/>
          </w:rPr>
        </w:r>
        <w:r>
          <w:rPr>
            <w:noProof/>
            <w:webHidden/>
          </w:rPr>
          <w:fldChar w:fldCharType="separate"/>
        </w:r>
        <w:r>
          <w:rPr>
            <w:noProof/>
            <w:webHidden/>
          </w:rPr>
          <w:t>78</w:t>
        </w:r>
        <w:r>
          <w:rPr>
            <w:noProof/>
            <w:webHidden/>
          </w:rPr>
          <w:fldChar w:fldCharType="end"/>
        </w:r>
      </w:hyperlink>
    </w:p>
    <w:p w14:paraId="1128B6BD" w14:textId="3267D5A9" w:rsidR="00EB027E" w:rsidRDefault="00EB027E">
      <w:pPr>
        <w:pStyle w:val="TableofFigures"/>
        <w:tabs>
          <w:tab w:val="right" w:leader="dot" w:pos="9350"/>
        </w:tabs>
      </w:pPr>
      <w:r>
        <w:fldChar w:fldCharType="end"/>
      </w:r>
    </w:p>
    <w:p w14:paraId="5FA5F0DB" w14:textId="77777777" w:rsidR="00C6159F" w:rsidRDefault="00C6159F" w:rsidP="009256A3">
      <w:pPr>
        <w:pStyle w:val="Heading1"/>
      </w:pPr>
    </w:p>
    <w:p w14:paraId="6FCAAFFD" w14:textId="77777777" w:rsidR="00C6159F" w:rsidRDefault="00C6159F" w:rsidP="009256A3">
      <w:pPr>
        <w:pStyle w:val="Heading1"/>
      </w:pPr>
    </w:p>
    <w:p w14:paraId="091BB6EA" w14:textId="77777777" w:rsidR="00C6159F" w:rsidRDefault="00C6159F" w:rsidP="009256A3">
      <w:pPr>
        <w:pStyle w:val="Heading1"/>
      </w:pPr>
    </w:p>
    <w:p w14:paraId="77A90C9D" w14:textId="77777777" w:rsidR="00C6159F" w:rsidRDefault="00C6159F" w:rsidP="009256A3">
      <w:pPr>
        <w:pStyle w:val="Heading1"/>
      </w:pPr>
    </w:p>
    <w:p w14:paraId="183DB572" w14:textId="77777777" w:rsidR="00C6159F" w:rsidRDefault="00C6159F" w:rsidP="002A533F"/>
    <w:p w14:paraId="0443104E" w14:textId="77777777" w:rsidR="00C6159F" w:rsidRDefault="00C6159F" w:rsidP="009256A3">
      <w:pPr>
        <w:pStyle w:val="Heading1"/>
      </w:pPr>
    </w:p>
    <w:p w14:paraId="5B79B805" w14:textId="77777777" w:rsidR="00C6159F" w:rsidRDefault="00C6159F" w:rsidP="009256A3">
      <w:pPr>
        <w:pStyle w:val="Heading1"/>
      </w:pPr>
    </w:p>
    <w:p w14:paraId="6DA5CFA3" w14:textId="77777777" w:rsidR="00C6159F" w:rsidRDefault="00C6159F" w:rsidP="002A533F"/>
    <w:p w14:paraId="760BB007" w14:textId="77777777" w:rsidR="00C6159F" w:rsidRDefault="00C6159F" w:rsidP="009256A3">
      <w:pPr>
        <w:pStyle w:val="Heading1"/>
      </w:pPr>
    </w:p>
    <w:p w14:paraId="2599182B" w14:textId="77777777" w:rsidR="00C6159F" w:rsidRDefault="00C6159F" w:rsidP="00047214"/>
    <w:p w14:paraId="3D5D6F05" w14:textId="4478EF81" w:rsidR="00C6159F" w:rsidRDefault="00C6159F" w:rsidP="00047214"/>
    <w:p w14:paraId="6E88F5C9" w14:textId="77777777" w:rsidR="00C6159F" w:rsidRPr="00C6159F" w:rsidRDefault="00C6159F" w:rsidP="00C6159F"/>
    <w:p w14:paraId="3E7FF4D7" w14:textId="7D40E350" w:rsidR="004C5331" w:rsidRDefault="004C5331" w:rsidP="009256A3">
      <w:pPr>
        <w:pStyle w:val="Heading1"/>
      </w:pPr>
      <w:bookmarkStart w:id="11" w:name="_Toc224458880"/>
      <w:r>
        <w:lastRenderedPageBreak/>
        <w:t>LIST OF FIGURES</w:t>
      </w:r>
      <w:bookmarkEnd w:id="11"/>
    </w:p>
    <w:p w14:paraId="61695316" w14:textId="630EB0DF" w:rsidR="00617B86" w:rsidRDefault="00113BBA">
      <w:pPr>
        <w:pStyle w:val="TableofFigure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w:anchor="_Toc224458936" w:history="1">
        <w:r w:rsidR="00617B86" w:rsidRPr="0004768F">
          <w:rPr>
            <w:rStyle w:val="Hyperlink"/>
            <w:noProof/>
          </w:rPr>
          <w:t>Figure 1. Graduates by Dual Enrollment Status</w:t>
        </w:r>
        <w:r w:rsidR="00617B86">
          <w:rPr>
            <w:noProof/>
            <w:webHidden/>
          </w:rPr>
          <w:tab/>
        </w:r>
        <w:r w:rsidR="00617B86">
          <w:rPr>
            <w:noProof/>
            <w:webHidden/>
          </w:rPr>
          <w:fldChar w:fldCharType="begin"/>
        </w:r>
        <w:r w:rsidR="00617B86">
          <w:rPr>
            <w:noProof/>
            <w:webHidden/>
          </w:rPr>
          <w:instrText xml:space="preserve"> PAGEREF _Toc224458936 \h </w:instrText>
        </w:r>
        <w:r w:rsidR="00617B86">
          <w:rPr>
            <w:noProof/>
            <w:webHidden/>
          </w:rPr>
        </w:r>
        <w:r w:rsidR="00617B86">
          <w:rPr>
            <w:noProof/>
            <w:webHidden/>
          </w:rPr>
          <w:fldChar w:fldCharType="separate"/>
        </w:r>
        <w:r w:rsidR="00617B86">
          <w:rPr>
            <w:noProof/>
            <w:webHidden/>
          </w:rPr>
          <w:t>66</w:t>
        </w:r>
        <w:r w:rsidR="00617B86">
          <w:rPr>
            <w:noProof/>
            <w:webHidden/>
          </w:rPr>
          <w:fldChar w:fldCharType="end"/>
        </w:r>
      </w:hyperlink>
    </w:p>
    <w:p w14:paraId="20A56110" w14:textId="3E31E2A0" w:rsidR="00617B86" w:rsidRDefault="00617B86">
      <w:pPr>
        <w:pStyle w:val="TableofFigures"/>
        <w:tabs>
          <w:tab w:val="right" w:leader="dot" w:pos="9350"/>
        </w:tabs>
        <w:rPr>
          <w:rFonts w:asciiTheme="minorHAnsi" w:eastAsiaTheme="minorEastAsia" w:hAnsiTheme="minorHAnsi"/>
          <w:noProof/>
          <w:sz w:val="22"/>
        </w:rPr>
      </w:pPr>
      <w:hyperlink w:anchor="_Toc224458937" w:history="1">
        <w:r w:rsidRPr="0004768F">
          <w:rPr>
            <w:rStyle w:val="Hyperlink"/>
            <w:noProof/>
          </w:rPr>
          <w:t>Figure 2. End of Freshman Year GPA by Dual Enrollment Status</w:t>
        </w:r>
        <w:r>
          <w:rPr>
            <w:noProof/>
            <w:webHidden/>
          </w:rPr>
          <w:tab/>
        </w:r>
        <w:r>
          <w:rPr>
            <w:noProof/>
            <w:webHidden/>
          </w:rPr>
          <w:fldChar w:fldCharType="begin"/>
        </w:r>
        <w:r>
          <w:rPr>
            <w:noProof/>
            <w:webHidden/>
          </w:rPr>
          <w:instrText xml:space="preserve"> PAGEREF _Toc224458937 \h </w:instrText>
        </w:r>
        <w:r>
          <w:rPr>
            <w:noProof/>
            <w:webHidden/>
          </w:rPr>
        </w:r>
        <w:r>
          <w:rPr>
            <w:noProof/>
            <w:webHidden/>
          </w:rPr>
          <w:fldChar w:fldCharType="separate"/>
        </w:r>
        <w:r>
          <w:rPr>
            <w:noProof/>
            <w:webHidden/>
          </w:rPr>
          <w:t>68</w:t>
        </w:r>
        <w:r>
          <w:rPr>
            <w:noProof/>
            <w:webHidden/>
          </w:rPr>
          <w:fldChar w:fldCharType="end"/>
        </w:r>
      </w:hyperlink>
    </w:p>
    <w:p w14:paraId="03897623" w14:textId="36176BC3" w:rsidR="00617B86" w:rsidRDefault="00617B86">
      <w:pPr>
        <w:pStyle w:val="TableofFigures"/>
        <w:tabs>
          <w:tab w:val="right" w:leader="dot" w:pos="9350"/>
        </w:tabs>
        <w:rPr>
          <w:rFonts w:asciiTheme="minorHAnsi" w:eastAsiaTheme="minorEastAsia" w:hAnsiTheme="minorHAnsi"/>
          <w:noProof/>
          <w:sz w:val="22"/>
        </w:rPr>
      </w:pPr>
      <w:hyperlink w:anchor="_Toc224458938" w:history="1">
        <w:r w:rsidRPr="0004768F">
          <w:rPr>
            <w:rStyle w:val="Hyperlink"/>
            <w:noProof/>
          </w:rPr>
          <w:t>Figure 3. Enrollment Status by Dual Enrollment Status</w:t>
        </w:r>
        <w:r>
          <w:rPr>
            <w:noProof/>
            <w:webHidden/>
          </w:rPr>
          <w:tab/>
        </w:r>
        <w:r>
          <w:rPr>
            <w:noProof/>
            <w:webHidden/>
          </w:rPr>
          <w:fldChar w:fldCharType="begin"/>
        </w:r>
        <w:r>
          <w:rPr>
            <w:noProof/>
            <w:webHidden/>
          </w:rPr>
          <w:instrText xml:space="preserve"> PAGEREF _Toc224458938 \h </w:instrText>
        </w:r>
        <w:r>
          <w:rPr>
            <w:noProof/>
            <w:webHidden/>
          </w:rPr>
        </w:r>
        <w:r>
          <w:rPr>
            <w:noProof/>
            <w:webHidden/>
          </w:rPr>
          <w:fldChar w:fldCharType="separate"/>
        </w:r>
        <w:r>
          <w:rPr>
            <w:noProof/>
            <w:webHidden/>
          </w:rPr>
          <w:t>70</w:t>
        </w:r>
        <w:r>
          <w:rPr>
            <w:noProof/>
            <w:webHidden/>
          </w:rPr>
          <w:fldChar w:fldCharType="end"/>
        </w:r>
      </w:hyperlink>
    </w:p>
    <w:p w14:paraId="4B85CF97" w14:textId="045B51FE" w:rsidR="00617B86" w:rsidRDefault="00617B86">
      <w:pPr>
        <w:pStyle w:val="TableofFigures"/>
        <w:tabs>
          <w:tab w:val="right" w:leader="dot" w:pos="9350"/>
        </w:tabs>
        <w:rPr>
          <w:rFonts w:asciiTheme="minorHAnsi" w:eastAsiaTheme="minorEastAsia" w:hAnsiTheme="minorHAnsi"/>
          <w:noProof/>
          <w:sz w:val="22"/>
        </w:rPr>
      </w:pPr>
      <w:hyperlink w:anchor="_Toc224458939" w:history="1">
        <w:r w:rsidRPr="0004768F">
          <w:rPr>
            <w:rStyle w:val="Hyperlink"/>
            <w:noProof/>
          </w:rPr>
          <w:t>Figure 4. Fall to Spring Retention Rate by Dual Enrollment Status</w:t>
        </w:r>
        <w:r>
          <w:rPr>
            <w:noProof/>
            <w:webHidden/>
          </w:rPr>
          <w:tab/>
        </w:r>
        <w:r>
          <w:rPr>
            <w:noProof/>
            <w:webHidden/>
          </w:rPr>
          <w:fldChar w:fldCharType="begin"/>
        </w:r>
        <w:r>
          <w:rPr>
            <w:noProof/>
            <w:webHidden/>
          </w:rPr>
          <w:instrText xml:space="preserve"> PAGEREF _Toc224458939 \h </w:instrText>
        </w:r>
        <w:r>
          <w:rPr>
            <w:noProof/>
            <w:webHidden/>
          </w:rPr>
        </w:r>
        <w:r>
          <w:rPr>
            <w:noProof/>
            <w:webHidden/>
          </w:rPr>
          <w:fldChar w:fldCharType="separate"/>
        </w:r>
        <w:r>
          <w:rPr>
            <w:noProof/>
            <w:webHidden/>
          </w:rPr>
          <w:t>72</w:t>
        </w:r>
        <w:r>
          <w:rPr>
            <w:noProof/>
            <w:webHidden/>
          </w:rPr>
          <w:fldChar w:fldCharType="end"/>
        </w:r>
      </w:hyperlink>
    </w:p>
    <w:p w14:paraId="6779BA81" w14:textId="5B40261C" w:rsidR="00617B86" w:rsidRDefault="00617B86">
      <w:pPr>
        <w:pStyle w:val="TableofFigures"/>
        <w:tabs>
          <w:tab w:val="right" w:leader="dot" w:pos="9350"/>
        </w:tabs>
        <w:rPr>
          <w:rFonts w:asciiTheme="minorHAnsi" w:eastAsiaTheme="minorEastAsia" w:hAnsiTheme="minorHAnsi"/>
          <w:noProof/>
          <w:sz w:val="22"/>
        </w:rPr>
      </w:pPr>
      <w:hyperlink w:anchor="_Toc224458940" w:history="1">
        <w:r w:rsidRPr="0004768F">
          <w:rPr>
            <w:rStyle w:val="Hyperlink"/>
            <w:noProof/>
          </w:rPr>
          <w:t>Figure 5. Fall to Fall Retention Rate by Dual Enrollment Status</w:t>
        </w:r>
        <w:r>
          <w:rPr>
            <w:noProof/>
            <w:webHidden/>
          </w:rPr>
          <w:tab/>
        </w:r>
        <w:r>
          <w:rPr>
            <w:noProof/>
            <w:webHidden/>
          </w:rPr>
          <w:fldChar w:fldCharType="begin"/>
        </w:r>
        <w:r>
          <w:rPr>
            <w:noProof/>
            <w:webHidden/>
          </w:rPr>
          <w:instrText xml:space="preserve"> PAGEREF _Toc224458940 \h </w:instrText>
        </w:r>
        <w:r>
          <w:rPr>
            <w:noProof/>
            <w:webHidden/>
          </w:rPr>
        </w:r>
        <w:r>
          <w:rPr>
            <w:noProof/>
            <w:webHidden/>
          </w:rPr>
          <w:fldChar w:fldCharType="separate"/>
        </w:r>
        <w:r>
          <w:rPr>
            <w:noProof/>
            <w:webHidden/>
          </w:rPr>
          <w:t>74</w:t>
        </w:r>
        <w:r>
          <w:rPr>
            <w:noProof/>
            <w:webHidden/>
          </w:rPr>
          <w:fldChar w:fldCharType="end"/>
        </w:r>
      </w:hyperlink>
    </w:p>
    <w:p w14:paraId="43F4E139" w14:textId="493F8026" w:rsidR="00617B86" w:rsidRDefault="00617B86">
      <w:pPr>
        <w:pStyle w:val="TableofFigures"/>
        <w:tabs>
          <w:tab w:val="right" w:leader="dot" w:pos="9350"/>
        </w:tabs>
        <w:rPr>
          <w:rFonts w:asciiTheme="minorHAnsi" w:eastAsiaTheme="minorEastAsia" w:hAnsiTheme="minorHAnsi"/>
          <w:noProof/>
          <w:sz w:val="22"/>
        </w:rPr>
      </w:pPr>
      <w:hyperlink w:anchor="_Toc224458941" w:history="1">
        <w:r w:rsidRPr="0004768F">
          <w:rPr>
            <w:rStyle w:val="Hyperlink"/>
            <w:noProof/>
          </w:rPr>
          <w:t>Figure 6. Thirty or More Credits Earned by end of Freshman Year by Dual Enrollment Status</w:t>
        </w:r>
        <w:r>
          <w:rPr>
            <w:noProof/>
            <w:webHidden/>
          </w:rPr>
          <w:tab/>
        </w:r>
        <w:r>
          <w:rPr>
            <w:noProof/>
            <w:webHidden/>
          </w:rPr>
          <w:fldChar w:fldCharType="begin"/>
        </w:r>
        <w:r>
          <w:rPr>
            <w:noProof/>
            <w:webHidden/>
          </w:rPr>
          <w:instrText xml:space="preserve"> PAGEREF _Toc224458941 \h </w:instrText>
        </w:r>
        <w:r>
          <w:rPr>
            <w:noProof/>
            <w:webHidden/>
          </w:rPr>
        </w:r>
        <w:r>
          <w:rPr>
            <w:noProof/>
            <w:webHidden/>
          </w:rPr>
          <w:fldChar w:fldCharType="separate"/>
        </w:r>
        <w:r>
          <w:rPr>
            <w:noProof/>
            <w:webHidden/>
          </w:rPr>
          <w:t>76</w:t>
        </w:r>
        <w:r>
          <w:rPr>
            <w:noProof/>
            <w:webHidden/>
          </w:rPr>
          <w:fldChar w:fldCharType="end"/>
        </w:r>
      </w:hyperlink>
    </w:p>
    <w:p w14:paraId="247112F0" w14:textId="17559025" w:rsidR="00617B86" w:rsidRDefault="00617B86">
      <w:pPr>
        <w:pStyle w:val="TableofFigures"/>
        <w:tabs>
          <w:tab w:val="right" w:leader="dot" w:pos="9350"/>
        </w:tabs>
        <w:rPr>
          <w:rFonts w:asciiTheme="minorHAnsi" w:eastAsiaTheme="minorEastAsia" w:hAnsiTheme="minorHAnsi"/>
          <w:noProof/>
          <w:sz w:val="22"/>
        </w:rPr>
      </w:pPr>
      <w:hyperlink w:anchor="_Toc224458942" w:history="1">
        <w:r w:rsidRPr="0004768F">
          <w:rPr>
            <w:rStyle w:val="Hyperlink"/>
            <w:noProof/>
          </w:rPr>
          <w:t>Figure 7. Academic Credits Earned at the End of Freshman Year by Dual Enrollment Status</w:t>
        </w:r>
        <w:r>
          <w:rPr>
            <w:noProof/>
            <w:webHidden/>
          </w:rPr>
          <w:tab/>
        </w:r>
        <w:r>
          <w:rPr>
            <w:noProof/>
            <w:webHidden/>
          </w:rPr>
          <w:fldChar w:fldCharType="begin"/>
        </w:r>
        <w:r>
          <w:rPr>
            <w:noProof/>
            <w:webHidden/>
          </w:rPr>
          <w:instrText xml:space="preserve"> PAGEREF _Toc224458942 \h </w:instrText>
        </w:r>
        <w:r>
          <w:rPr>
            <w:noProof/>
            <w:webHidden/>
          </w:rPr>
        </w:r>
        <w:r>
          <w:rPr>
            <w:noProof/>
            <w:webHidden/>
          </w:rPr>
          <w:fldChar w:fldCharType="separate"/>
        </w:r>
        <w:r>
          <w:rPr>
            <w:noProof/>
            <w:webHidden/>
          </w:rPr>
          <w:t>78</w:t>
        </w:r>
        <w:r>
          <w:rPr>
            <w:noProof/>
            <w:webHidden/>
          </w:rPr>
          <w:fldChar w:fldCharType="end"/>
        </w:r>
      </w:hyperlink>
    </w:p>
    <w:p w14:paraId="0A5DB94F" w14:textId="20F042C1" w:rsidR="00273EBE" w:rsidRDefault="00113BBA">
      <w:pPr>
        <w:pStyle w:val="TableofFigures"/>
        <w:tabs>
          <w:tab w:val="right" w:leader="dot" w:pos="9350"/>
        </w:tabs>
      </w:pPr>
      <w:r>
        <w:fldChar w:fldCharType="end"/>
      </w:r>
    </w:p>
    <w:p w14:paraId="3386C637" w14:textId="79AC4C1F" w:rsidR="009256A3" w:rsidRPr="005D7F2A" w:rsidRDefault="00FC5182" w:rsidP="00113BBA">
      <w:pPr>
        <w:pStyle w:val="TableofFigures"/>
        <w:tabs>
          <w:tab w:val="right" w:leader="dot" w:pos="9350"/>
        </w:tabs>
      </w:pPr>
      <w:r>
        <w:fldChar w:fldCharType="begin"/>
      </w:r>
      <w:r>
        <w:instrText xml:space="preserve"> TOC \h \z \c "Figure" </w:instrText>
      </w:r>
      <w:r>
        <w:fldChar w:fldCharType="separate"/>
      </w:r>
    </w:p>
    <w:p w14:paraId="546F02AC" w14:textId="77777777" w:rsidR="009256A3" w:rsidRPr="009256A3" w:rsidRDefault="009256A3" w:rsidP="009256A3"/>
    <w:p w14:paraId="41C66065" w14:textId="77777777" w:rsidR="00971B0E" w:rsidRDefault="00971B0E" w:rsidP="00971B0E"/>
    <w:p w14:paraId="726CC959" w14:textId="77777777" w:rsidR="00971B0E" w:rsidRPr="00971B0E" w:rsidRDefault="00971B0E" w:rsidP="00971B0E"/>
    <w:p w14:paraId="5275402F" w14:textId="77777777" w:rsidR="00FC5182" w:rsidRPr="00FC5182" w:rsidRDefault="00FC5182" w:rsidP="004F0D01">
      <w:pPr>
        <w:ind w:left="1080" w:hanging="1080"/>
      </w:pPr>
      <w:r>
        <w:fldChar w:fldCharType="end"/>
      </w:r>
    </w:p>
    <w:p w14:paraId="772C37CB" w14:textId="77777777" w:rsidR="004C5331" w:rsidRDefault="004C5331">
      <w:pPr>
        <w:spacing w:after="160" w:line="259" w:lineRule="auto"/>
      </w:pPr>
      <w:r>
        <w:br w:type="page"/>
      </w:r>
    </w:p>
    <w:p w14:paraId="455CCEE1" w14:textId="4E26CA61" w:rsidR="00FB3ADC" w:rsidRPr="00FB3ADC" w:rsidRDefault="004C5331" w:rsidP="00C534AC">
      <w:pPr>
        <w:pStyle w:val="Heading2"/>
      </w:pPr>
      <w:bookmarkStart w:id="12" w:name="_Hlk102649914"/>
      <w:bookmarkStart w:id="13" w:name="_Toc224458881"/>
      <w:r>
        <w:lastRenderedPageBreak/>
        <w:t xml:space="preserve">Chapter </w:t>
      </w:r>
      <w:r w:rsidR="00844F20">
        <w:t xml:space="preserve">1. </w:t>
      </w:r>
      <w:r w:rsidR="008B6163">
        <w:t>Introduction</w:t>
      </w:r>
      <w:bookmarkEnd w:id="13"/>
    </w:p>
    <w:p w14:paraId="74D33861" w14:textId="5F29D5C7" w:rsidR="00B92AD5" w:rsidRDefault="00305545" w:rsidP="00B92AD5">
      <w:pPr>
        <w:ind w:firstLine="720"/>
        <w:rPr>
          <w:rFonts w:cs="Times New Roman"/>
          <w:color w:val="000000" w:themeColor="text1"/>
          <w:szCs w:val="24"/>
          <w:highlight w:val="yellow"/>
        </w:rPr>
      </w:pPr>
      <w:r>
        <w:rPr>
          <w:rFonts w:cs="Times New Roman"/>
          <w:color w:val="000000" w:themeColor="text1"/>
          <w:szCs w:val="24"/>
        </w:rPr>
        <w:t>S</w:t>
      </w:r>
      <w:r w:rsidR="00B92AD5" w:rsidRPr="00BA3A4D">
        <w:rPr>
          <w:rFonts w:cs="Times New Roman"/>
          <w:color w:val="000000" w:themeColor="text1"/>
          <w:szCs w:val="24"/>
        </w:rPr>
        <w:t>trategies that promote high school graduation and encourage college enrollment</w:t>
      </w:r>
      <w:r>
        <w:rPr>
          <w:rFonts w:cs="Times New Roman"/>
          <w:color w:val="000000" w:themeColor="text1"/>
          <w:szCs w:val="24"/>
        </w:rPr>
        <w:t xml:space="preserve"> have become increasingly common through accelerated learning opportunities</w:t>
      </w:r>
      <w:r w:rsidR="00B92AD5" w:rsidRPr="00BA3A4D">
        <w:rPr>
          <w:rFonts w:cs="Times New Roman"/>
          <w:color w:val="000000" w:themeColor="text1"/>
          <w:szCs w:val="24"/>
        </w:rPr>
        <w:t xml:space="preserve"> (Cassidy et al., 2010). </w:t>
      </w:r>
      <w:r w:rsidR="00E925B9">
        <w:rPr>
          <w:rFonts w:cs="Times New Roman"/>
          <w:color w:val="000000" w:themeColor="text1"/>
          <w:szCs w:val="24"/>
        </w:rPr>
        <w:t>Tennessee c</w:t>
      </w:r>
      <w:r w:rsidR="00B92AD5" w:rsidRPr="00BA3A4D">
        <w:rPr>
          <w:rFonts w:cs="Times New Roman"/>
          <w:color w:val="000000" w:themeColor="text1"/>
          <w:szCs w:val="24"/>
        </w:rPr>
        <w:t>ommunity college mission statements</w:t>
      </w:r>
      <w:r w:rsidR="006B3B2D" w:rsidRPr="006B3B2D">
        <w:rPr>
          <w:rFonts w:cs="Times New Roman"/>
          <w:color w:val="000000" w:themeColor="text1"/>
          <w:szCs w:val="24"/>
        </w:rPr>
        <w:t xml:space="preserve"> </w:t>
      </w:r>
      <w:r w:rsidR="006B3B2D">
        <w:rPr>
          <w:rFonts w:cs="Times New Roman"/>
          <w:color w:val="000000" w:themeColor="text1"/>
          <w:szCs w:val="24"/>
        </w:rPr>
        <w:t>closely align with strategic plan priorities,</w:t>
      </w:r>
      <w:r w:rsidR="000A08E4">
        <w:rPr>
          <w:rFonts w:cs="Times New Roman"/>
          <w:color w:val="000000" w:themeColor="text1"/>
          <w:szCs w:val="24"/>
        </w:rPr>
        <w:t xml:space="preserve"> </w:t>
      </w:r>
      <w:r w:rsidR="00B92AD5" w:rsidRPr="00BA3A4D">
        <w:rPr>
          <w:rFonts w:cs="Times New Roman"/>
          <w:color w:val="000000" w:themeColor="text1"/>
          <w:szCs w:val="24"/>
        </w:rPr>
        <w:t xml:space="preserve">focus on student success and innovative teaching, </w:t>
      </w:r>
      <w:r w:rsidR="006B3B2D">
        <w:rPr>
          <w:rFonts w:cs="Times New Roman"/>
          <w:color w:val="000000" w:themeColor="text1"/>
          <w:szCs w:val="24"/>
        </w:rPr>
        <w:t>and</w:t>
      </w:r>
      <w:r w:rsidR="00B92AD5">
        <w:rPr>
          <w:rFonts w:cs="Times New Roman"/>
          <w:color w:val="000000" w:themeColor="text1"/>
          <w:szCs w:val="24"/>
        </w:rPr>
        <w:t xml:space="preserve"> can include </w:t>
      </w:r>
      <w:r w:rsidR="005C2B2D">
        <w:rPr>
          <w:rFonts w:cs="Times New Roman"/>
          <w:color w:val="000000" w:themeColor="text1"/>
          <w:szCs w:val="24"/>
        </w:rPr>
        <w:t xml:space="preserve">open </w:t>
      </w:r>
      <w:r w:rsidR="00B92AD5">
        <w:rPr>
          <w:rFonts w:cs="Times New Roman"/>
          <w:color w:val="000000" w:themeColor="text1"/>
          <w:szCs w:val="24"/>
        </w:rPr>
        <w:t>access, student success, equity, quality, and stewardship (</w:t>
      </w:r>
      <w:r w:rsidR="005C2B2D">
        <w:rPr>
          <w:rFonts w:cs="Times New Roman"/>
          <w:color w:val="000000" w:themeColor="text1"/>
          <w:szCs w:val="24"/>
        </w:rPr>
        <w:t>Tennessee Board of Regents [TBR]</w:t>
      </w:r>
      <w:r w:rsidR="00B92AD5" w:rsidRPr="00BA3A4D">
        <w:rPr>
          <w:rFonts w:cs="Times New Roman"/>
          <w:color w:val="000000" w:themeColor="text1"/>
          <w:szCs w:val="24"/>
        </w:rPr>
        <w:t xml:space="preserve">, 2022). Early postsecondary opportunities </w:t>
      </w:r>
      <w:r w:rsidR="00B92AD5">
        <w:rPr>
          <w:rFonts w:cs="Times New Roman"/>
          <w:color w:val="000000" w:themeColor="text1"/>
          <w:szCs w:val="24"/>
        </w:rPr>
        <w:t xml:space="preserve">(EPSOs) </w:t>
      </w:r>
      <w:r w:rsidR="00B92AD5" w:rsidRPr="00BA3A4D">
        <w:rPr>
          <w:rFonts w:cs="Times New Roman"/>
          <w:color w:val="000000" w:themeColor="text1"/>
          <w:szCs w:val="24"/>
        </w:rPr>
        <w:t xml:space="preserve">available in Tennessee, such as </w:t>
      </w:r>
      <w:r w:rsidR="00734075">
        <w:rPr>
          <w:rFonts w:cs="Times New Roman"/>
          <w:color w:val="000000" w:themeColor="text1"/>
          <w:szCs w:val="24"/>
        </w:rPr>
        <w:t>a</w:t>
      </w:r>
      <w:r w:rsidR="00B92AD5">
        <w:rPr>
          <w:rFonts w:cs="Times New Roman"/>
          <w:color w:val="000000" w:themeColor="text1"/>
          <w:szCs w:val="24"/>
        </w:rPr>
        <w:t xml:space="preserve">dvanced </w:t>
      </w:r>
      <w:r w:rsidR="00734075">
        <w:rPr>
          <w:rFonts w:cs="Times New Roman"/>
          <w:color w:val="000000" w:themeColor="text1"/>
          <w:szCs w:val="24"/>
        </w:rPr>
        <w:t>p</w:t>
      </w:r>
      <w:r w:rsidR="00B92AD5">
        <w:rPr>
          <w:rFonts w:cs="Times New Roman"/>
          <w:color w:val="000000" w:themeColor="text1"/>
          <w:szCs w:val="24"/>
        </w:rPr>
        <w:t>lacement (AP), dual credit, and dual enrollment (DE), provide students with the chance to earn</w:t>
      </w:r>
      <w:r w:rsidR="00B92AD5" w:rsidRPr="00BA3A4D">
        <w:rPr>
          <w:rFonts w:cs="Times New Roman"/>
          <w:color w:val="000000" w:themeColor="text1"/>
          <w:szCs w:val="24"/>
        </w:rPr>
        <w:t xml:space="preserve"> postsecondary credit while still in high school (</w:t>
      </w:r>
      <w:r w:rsidR="005863E6">
        <w:rPr>
          <w:rFonts w:cs="Times New Roman"/>
          <w:color w:val="000000" w:themeColor="text1"/>
          <w:szCs w:val="24"/>
        </w:rPr>
        <w:t>Tennessee Department of Education [</w:t>
      </w:r>
      <w:r w:rsidR="00B92AD5" w:rsidRPr="00BA3A4D">
        <w:rPr>
          <w:rFonts w:cs="Times New Roman"/>
          <w:color w:val="000000" w:themeColor="text1"/>
          <w:szCs w:val="24"/>
        </w:rPr>
        <w:t>TDOE</w:t>
      </w:r>
      <w:r w:rsidR="005863E6">
        <w:rPr>
          <w:rFonts w:cs="Times New Roman"/>
          <w:color w:val="000000" w:themeColor="text1"/>
          <w:szCs w:val="24"/>
        </w:rPr>
        <w:t>]</w:t>
      </w:r>
      <w:r w:rsidR="00B92AD5" w:rsidRPr="00BA3A4D">
        <w:rPr>
          <w:rFonts w:cs="Times New Roman"/>
          <w:color w:val="000000" w:themeColor="text1"/>
          <w:szCs w:val="24"/>
        </w:rPr>
        <w:t>, n.d.</w:t>
      </w:r>
      <w:r w:rsidR="004F4929" w:rsidRPr="00114011">
        <w:rPr>
          <w:rFonts w:cs="Times New Roman"/>
          <w:color w:val="000000" w:themeColor="text1"/>
          <w:szCs w:val="24"/>
        </w:rPr>
        <w:t>-</w:t>
      </w:r>
      <w:r w:rsidR="00114011" w:rsidRPr="00114011">
        <w:rPr>
          <w:rFonts w:cs="Times New Roman"/>
          <w:color w:val="000000" w:themeColor="text1"/>
          <w:szCs w:val="24"/>
        </w:rPr>
        <w:t>b</w:t>
      </w:r>
      <w:r w:rsidR="00B92AD5" w:rsidRPr="00BA3A4D">
        <w:rPr>
          <w:rFonts w:cs="Times New Roman"/>
          <w:color w:val="000000" w:themeColor="text1"/>
          <w:szCs w:val="24"/>
        </w:rPr>
        <w:t xml:space="preserve">). </w:t>
      </w:r>
      <w:r w:rsidR="00B92AD5">
        <w:rPr>
          <w:rFonts w:cs="Times New Roman"/>
          <w:color w:val="000000" w:themeColor="text1"/>
          <w:szCs w:val="24"/>
        </w:rPr>
        <w:t>These opportunities for students have contributed to the increase in student success and degree attainment by improving college readiness, as well as reducing the time to degree</w:t>
      </w:r>
      <w:r w:rsidR="00C73658">
        <w:rPr>
          <w:rFonts w:cs="Times New Roman"/>
          <w:color w:val="000000" w:themeColor="text1"/>
          <w:szCs w:val="24"/>
        </w:rPr>
        <w:t xml:space="preserve"> completion</w:t>
      </w:r>
      <w:r w:rsidR="00B92AD5">
        <w:rPr>
          <w:rFonts w:cs="Times New Roman"/>
          <w:color w:val="000000" w:themeColor="text1"/>
          <w:szCs w:val="24"/>
        </w:rPr>
        <w:t xml:space="preserve"> (Allen &amp; Dadgar, 2012). </w:t>
      </w:r>
    </w:p>
    <w:p w14:paraId="6626D1DA" w14:textId="4E30F2B8" w:rsidR="00B92AD5" w:rsidRDefault="000A08E4" w:rsidP="00B92AD5">
      <w:pPr>
        <w:ind w:firstLine="720"/>
        <w:rPr>
          <w:rFonts w:cs="Times New Roman"/>
          <w:color w:val="000000" w:themeColor="text1"/>
          <w:spacing w:val="3"/>
          <w:szCs w:val="24"/>
        </w:rPr>
      </w:pPr>
      <w:r>
        <w:rPr>
          <w:rFonts w:cs="Times New Roman"/>
          <w:color w:val="000000" w:themeColor="text1"/>
          <w:szCs w:val="24"/>
          <w:shd w:val="clear" w:color="auto" w:fill="FFFFFF"/>
        </w:rPr>
        <w:t>C</w:t>
      </w:r>
      <w:r w:rsidR="00B92AD5" w:rsidRPr="00BA3A4D">
        <w:rPr>
          <w:rFonts w:cs="Times New Roman"/>
          <w:color w:val="000000" w:themeColor="text1"/>
          <w:szCs w:val="24"/>
          <w:shd w:val="clear" w:color="auto" w:fill="FFFFFF"/>
        </w:rPr>
        <w:t xml:space="preserve">ollege missions and strategic plans </w:t>
      </w:r>
      <w:r>
        <w:rPr>
          <w:rFonts w:cs="Times New Roman"/>
          <w:color w:val="000000" w:themeColor="text1"/>
          <w:szCs w:val="24"/>
          <w:shd w:val="clear" w:color="auto" w:fill="FFFFFF"/>
        </w:rPr>
        <w:t>are linked</w:t>
      </w:r>
      <w:r w:rsidR="00B92AD5">
        <w:rPr>
          <w:rFonts w:cs="Times New Roman"/>
          <w:color w:val="000000" w:themeColor="text1"/>
          <w:szCs w:val="24"/>
          <w:shd w:val="clear" w:color="auto" w:fill="FFFFFF"/>
        </w:rPr>
        <w:t xml:space="preserve"> to the outcomes-based funding formula. This complex funding tool</w:t>
      </w:r>
      <w:r w:rsidR="00B92AD5" w:rsidRPr="00BA3A4D">
        <w:rPr>
          <w:rFonts w:cs="Times New Roman"/>
          <w:color w:val="000000" w:themeColor="text1"/>
          <w:spacing w:val="-6"/>
          <w:szCs w:val="24"/>
          <w:shd w:val="clear" w:color="auto" w:fill="FFFFFF"/>
        </w:rPr>
        <w:t xml:space="preserve"> allocates state funds to Tennessee’s public colleges and universities based on performance (</w:t>
      </w:r>
      <w:r w:rsidR="00B92AD5" w:rsidRPr="00BA3A4D">
        <w:rPr>
          <w:rFonts w:cs="Times New Roman"/>
          <w:color w:val="000000" w:themeColor="text1"/>
          <w:spacing w:val="3"/>
          <w:szCs w:val="24"/>
        </w:rPr>
        <w:t>Testa, 2017).</w:t>
      </w:r>
      <w:r w:rsidR="00B92AD5">
        <w:rPr>
          <w:rFonts w:cs="Times New Roman"/>
          <w:color w:val="000000" w:themeColor="text1"/>
          <w:spacing w:val="3"/>
          <w:szCs w:val="24"/>
        </w:rPr>
        <w:t xml:space="preserve"> This funding formula was created by the Complete College Tennessee Act of 2010 and is overseen by the Tennessee Higher Education Commission (THEC)</w:t>
      </w:r>
      <w:r>
        <w:rPr>
          <w:rFonts w:cs="Times New Roman"/>
          <w:color w:val="000000" w:themeColor="text1"/>
          <w:spacing w:val="3"/>
          <w:szCs w:val="24"/>
        </w:rPr>
        <w:t>. The THEC</w:t>
      </w:r>
      <w:r w:rsidR="00B92AD5">
        <w:rPr>
          <w:rFonts w:cs="Times New Roman"/>
          <w:color w:val="000000" w:themeColor="text1"/>
          <w:spacing w:val="3"/>
          <w:szCs w:val="24"/>
        </w:rPr>
        <w:t xml:space="preserve"> evaluates and approves the outcomes-based funding formula for higher education funding throughout the state (</w:t>
      </w:r>
      <w:r w:rsidR="00B92AD5">
        <w:rPr>
          <w:rFonts w:eastAsia="Times New Roman" w:cs="Times New Roman"/>
          <w:color w:val="000000" w:themeColor="text1"/>
          <w:spacing w:val="3"/>
          <w:szCs w:val="24"/>
        </w:rPr>
        <w:t xml:space="preserve">Tennessee Comptroller of the Treasury, </w:t>
      </w:r>
      <w:r w:rsidR="00B92AD5">
        <w:rPr>
          <w:rFonts w:cs="Times New Roman"/>
          <w:color w:val="000000" w:themeColor="text1"/>
          <w:spacing w:val="3"/>
          <w:szCs w:val="24"/>
        </w:rPr>
        <w:t>2023</w:t>
      </w:r>
      <w:r w:rsidR="00CD13B4">
        <w:rPr>
          <w:rFonts w:cs="Times New Roman"/>
          <w:color w:val="000000" w:themeColor="text1"/>
          <w:spacing w:val="3"/>
          <w:szCs w:val="24"/>
        </w:rPr>
        <w:t xml:space="preserve">; </w:t>
      </w:r>
      <w:r w:rsidR="00FA782A">
        <w:rPr>
          <w:rFonts w:eastAsia="Times New Roman" w:cs="Times New Roman"/>
          <w:szCs w:val="24"/>
        </w:rPr>
        <w:t>Tennessee Higher Education Commission</w:t>
      </w:r>
      <w:r w:rsidR="00FA782A">
        <w:rPr>
          <w:rFonts w:cs="Times New Roman"/>
          <w:color w:val="000000" w:themeColor="text1"/>
          <w:spacing w:val="3"/>
          <w:szCs w:val="24"/>
        </w:rPr>
        <w:t xml:space="preserve"> [THEC],</w:t>
      </w:r>
      <w:r w:rsidR="00CD13B4">
        <w:rPr>
          <w:rFonts w:cs="Times New Roman"/>
          <w:color w:val="000000" w:themeColor="text1"/>
          <w:spacing w:val="3"/>
          <w:szCs w:val="24"/>
        </w:rPr>
        <w:t xml:space="preserve"> n.d.-a</w:t>
      </w:r>
      <w:r w:rsidR="00B92AD5">
        <w:rPr>
          <w:rFonts w:cs="Times New Roman"/>
          <w:color w:val="000000" w:themeColor="text1"/>
          <w:spacing w:val="3"/>
          <w:szCs w:val="24"/>
        </w:rPr>
        <w:t xml:space="preserve">). </w:t>
      </w:r>
    </w:p>
    <w:p w14:paraId="7A4D98B2" w14:textId="3928F2B4" w:rsidR="00B92AD5" w:rsidRPr="00BA3A4D" w:rsidRDefault="00B92AD5" w:rsidP="00B92AD5">
      <w:pPr>
        <w:ind w:firstLine="720"/>
        <w:rPr>
          <w:rFonts w:cs="Times New Roman"/>
          <w:color w:val="000000" w:themeColor="text1"/>
          <w:szCs w:val="24"/>
        </w:rPr>
      </w:pPr>
      <w:r>
        <w:rPr>
          <w:rFonts w:cs="Times New Roman"/>
          <w:color w:val="000000" w:themeColor="text1"/>
          <w:spacing w:val="3"/>
          <w:szCs w:val="24"/>
        </w:rPr>
        <w:t>The Tennessee Higher Education Commission (THEC) uses a three-year outcomes average based on the outcomes developed for community colleges and universities (</w:t>
      </w:r>
      <w:bookmarkStart w:id="14" w:name="_Hlk208758125"/>
      <w:r>
        <w:rPr>
          <w:rFonts w:cs="Times New Roman"/>
          <w:color w:val="000000" w:themeColor="text1"/>
          <w:spacing w:val="3"/>
          <w:szCs w:val="24"/>
        </w:rPr>
        <w:t xml:space="preserve">THEC, </w:t>
      </w:r>
      <w:bookmarkEnd w:id="14"/>
      <w:r w:rsidR="00FA782A">
        <w:rPr>
          <w:rFonts w:cs="Times New Roman"/>
          <w:color w:val="000000" w:themeColor="text1"/>
          <w:spacing w:val="3"/>
          <w:szCs w:val="24"/>
        </w:rPr>
        <w:t>n.d.-b</w:t>
      </w:r>
      <w:r>
        <w:rPr>
          <w:rFonts w:cs="Times New Roman"/>
          <w:color w:val="000000" w:themeColor="text1"/>
          <w:spacing w:val="3"/>
          <w:szCs w:val="24"/>
        </w:rPr>
        <w:t xml:space="preserve">). Outcome measures vary between community colleges and state universities, with </w:t>
      </w:r>
      <w:r>
        <w:rPr>
          <w:rFonts w:cs="Times New Roman"/>
          <w:color w:val="000000" w:themeColor="text1"/>
          <w:szCs w:val="24"/>
        </w:rPr>
        <w:t>d</w:t>
      </w:r>
      <w:r w:rsidRPr="00BA3A4D">
        <w:rPr>
          <w:rFonts w:cs="Times New Roman"/>
          <w:color w:val="000000" w:themeColor="text1"/>
          <w:szCs w:val="24"/>
        </w:rPr>
        <w:t xml:space="preserve">ual enrollment </w:t>
      </w:r>
      <w:r>
        <w:rPr>
          <w:rFonts w:cs="Times New Roman"/>
          <w:color w:val="000000" w:themeColor="text1"/>
          <w:szCs w:val="24"/>
        </w:rPr>
        <w:t>as</w:t>
      </w:r>
      <w:r w:rsidRPr="00BA3A4D">
        <w:rPr>
          <w:rFonts w:cs="Times New Roman"/>
          <w:color w:val="000000" w:themeColor="text1"/>
          <w:szCs w:val="24"/>
        </w:rPr>
        <w:t xml:space="preserve"> one contributor to achieving measurement for Tennessee’s Outcomes-Based </w:t>
      </w:r>
      <w:r w:rsidRPr="00BA3A4D">
        <w:rPr>
          <w:rFonts w:cs="Times New Roman"/>
          <w:color w:val="000000" w:themeColor="text1"/>
          <w:szCs w:val="24"/>
        </w:rPr>
        <w:lastRenderedPageBreak/>
        <w:t>Funding Formula for community colleges</w:t>
      </w:r>
      <w:r>
        <w:rPr>
          <w:rFonts w:cs="Times New Roman"/>
          <w:color w:val="000000" w:themeColor="text1"/>
          <w:szCs w:val="24"/>
        </w:rPr>
        <w:t xml:space="preserve"> </w:t>
      </w:r>
      <w:r>
        <w:rPr>
          <w:rFonts w:cs="Times New Roman"/>
          <w:color w:val="000000" w:themeColor="text1"/>
          <w:spacing w:val="3"/>
          <w:szCs w:val="24"/>
        </w:rPr>
        <w:t>(</w:t>
      </w:r>
      <w:r>
        <w:rPr>
          <w:rFonts w:eastAsia="Times New Roman" w:cs="Times New Roman"/>
          <w:color w:val="000000" w:themeColor="text1"/>
          <w:spacing w:val="3"/>
          <w:szCs w:val="24"/>
        </w:rPr>
        <w:t xml:space="preserve">Tennessee Comptroller of the Treasury, </w:t>
      </w:r>
      <w:r>
        <w:rPr>
          <w:rFonts w:cs="Times New Roman"/>
          <w:color w:val="000000" w:themeColor="text1"/>
          <w:spacing w:val="3"/>
          <w:szCs w:val="24"/>
        </w:rPr>
        <w:t>2023)</w:t>
      </w:r>
      <w:r w:rsidRPr="00BA3A4D">
        <w:rPr>
          <w:rFonts w:cs="Times New Roman"/>
          <w:color w:val="000000" w:themeColor="text1"/>
          <w:szCs w:val="24"/>
        </w:rPr>
        <w:t xml:space="preserve">. </w:t>
      </w:r>
      <w:r w:rsidR="0027008F">
        <w:rPr>
          <w:rFonts w:cs="Times New Roman"/>
          <w:color w:val="000000" w:themeColor="text1"/>
          <w:szCs w:val="24"/>
        </w:rPr>
        <w:t>D</w:t>
      </w:r>
      <w:r>
        <w:rPr>
          <w:rFonts w:cs="Times New Roman"/>
          <w:color w:val="000000" w:themeColor="text1"/>
          <w:szCs w:val="24"/>
        </w:rPr>
        <w:t>ata from</w:t>
      </w:r>
      <w:r w:rsidR="00E25D5B">
        <w:rPr>
          <w:rFonts w:cs="Times New Roman"/>
          <w:color w:val="000000" w:themeColor="text1"/>
          <w:szCs w:val="24"/>
        </w:rPr>
        <w:t xml:space="preserve"> the</w:t>
      </w:r>
      <w:r>
        <w:rPr>
          <w:rFonts w:cs="Times New Roman"/>
          <w:color w:val="000000" w:themeColor="text1"/>
          <w:szCs w:val="24"/>
        </w:rPr>
        <w:t xml:space="preserve"> </w:t>
      </w:r>
      <w:r w:rsidR="00A71938">
        <w:rPr>
          <w:rFonts w:cs="Times New Roman"/>
          <w:color w:val="000000" w:themeColor="text1"/>
          <w:szCs w:val="24"/>
        </w:rPr>
        <w:t>Tennessee Board of Regents (</w:t>
      </w:r>
      <w:r>
        <w:rPr>
          <w:rFonts w:cs="Times New Roman"/>
          <w:color w:val="000000" w:themeColor="text1"/>
          <w:szCs w:val="24"/>
        </w:rPr>
        <w:t>TBR</w:t>
      </w:r>
      <w:r w:rsidR="00A71938">
        <w:rPr>
          <w:rFonts w:cs="Times New Roman"/>
          <w:color w:val="000000" w:themeColor="text1"/>
          <w:szCs w:val="24"/>
        </w:rPr>
        <w:t>)</w:t>
      </w:r>
      <w:r w:rsidR="0027008F">
        <w:rPr>
          <w:rFonts w:cs="Times New Roman"/>
          <w:color w:val="000000" w:themeColor="text1"/>
          <w:szCs w:val="24"/>
        </w:rPr>
        <w:t xml:space="preserve"> indicated</w:t>
      </w:r>
      <w:r>
        <w:rPr>
          <w:rFonts w:cs="Times New Roman"/>
          <w:color w:val="000000" w:themeColor="text1"/>
          <w:szCs w:val="24"/>
        </w:rPr>
        <w:t xml:space="preserve"> an</w:t>
      </w:r>
      <w:r w:rsidRPr="00BA3A4D">
        <w:rPr>
          <w:rFonts w:cs="Times New Roman"/>
          <w:color w:val="000000" w:themeColor="text1"/>
          <w:szCs w:val="24"/>
        </w:rPr>
        <w:t xml:space="preserve"> </w:t>
      </w:r>
      <w:r>
        <w:rPr>
          <w:rFonts w:cs="Times New Roman"/>
          <w:color w:val="000000" w:themeColor="text1"/>
          <w:szCs w:val="24"/>
        </w:rPr>
        <w:t>increase</w:t>
      </w:r>
      <w:r w:rsidRPr="00BA3A4D">
        <w:rPr>
          <w:rFonts w:cs="Times New Roman"/>
          <w:color w:val="000000" w:themeColor="text1"/>
          <w:szCs w:val="24"/>
        </w:rPr>
        <w:t xml:space="preserve"> in </w:t>
      </w:r>
      <w:r>
        <w:rPr>
          <w:rFonts w:cs="Times New Roman"/>
          <w:color w:val="000000" w:themeColor="text1"/>
          <w:szCs w:val="24"/>
        </w:rPr>
        <w:t xml:space="preserve">dual </w:t>
      </w:r>
      <w:r w:rsidRPr="00BA3A4D">
        <w:rPr>
          <w:rFonts w:cs="Times New Roman"/>
          <w:color w:val="000000" w:themeColor="text1"/>
          <w:szCs w:val="24"/>
        </w:rPr>
        <w:t xml:space="preserve">enrollment across Tennessee community </w:t>
      </w:r>
      <w:r>
        <w:rPr>
          <w:rFonts w:cs="Times New Roman"/>
          <w:color w:val="000000" w:themeColor="text1"/>
          <w:szCs w:val="24"/>
        </w:rPr>
        <w:t xml:space="preserve">and technical </w:t>
      </w:r>
      <w:r w:rsidRPr="00BA3A4D">
        <w:rPr>
          <w:rFonts w:cs="Times New Roman"/>
          <w:color w:val="000000" w:themeColor="text1"/>
          <w:szCs w:val="24"/>
        </w:rPr>
        <w:t>colleges</w:t>
      </w:r>
      <w:r>
        <w:rPr>
          <w:rFonts w:cs="Times New Roman"/>
          <w:color w:val="000000" w:themeColor="text1"/>
          <w:szCs w:val="24"/>
        </w:rPr>
        <w:t>, with a 68</w:t>
      </w:r>
      <w:r w:rsidR="00734075">
        <w:rPr>
          <w:rFonts w:cs="Times New Roman"/>
          <w:color w:val="000000" w:themeColor="text1"/>
          <w:szCs w:val="24"/>
        </w:rPr>
        <w:t>%</w:t>
      </w:r>
      <w:r>
        <w:rPr>
          <w:rFonts w:cs="Times New Roman"/>
          <w:color w:val="000000" w:themeColor="text1"/>
          <w:szCs w:val="24"/>
        </w:rPr>
        <w:t xml:space="preserve"> rise from </w:t>
      </w:r>
      <w:r w:rsidR="00525B86">
        <w:rPr>
          <w:rFonts w:cs="Times New Roman"/>
          <w:color w:val="000000" w:themeColor="text1"/>
          <w:szCs w:val="24"/>
        </w:rPr>
        <w:t>f</w:t>
      </w:r>
      <w:r>
        <w:rPr>
          <w:rFonts w:cs="Times New Roman"/>
          <w:color w:val="000000" w:themeColor="text1"/>
          <w:szCs w:val="24"/>
        </w:rPr>
        <w:t xml:space="preserve">all 2015 to </w:t>
      </w:r>
      <w:r w:rsidR="00525B86">
        <w:rPr>
          <w:rFonts w:cs="Times New Roman"/>
          <w:color w:val="000000" w:themeColor="text1"/>
          <w:szCs w:val="24"/>
        </w:rPr>
        <w:t>f</w:t>
      </w:r>
      <w:r>
        <w:rPr>
          <w:rFonts w:cs="Times New Roman"/>
          <w:color w:val="000000" w:themeColor="text1"/>
          <w:szCs w:val="24"/>
        </w:rPr>
        <w:t>all 2022</w:t>
      </w:r>
      <w:r w:rsidR="000A08E4">
        <w:rPr>
          <w:rFonts w:cs="Times New Roman"/>
          <w:color w:val="000000" w:themeColor="text1"/>
          <w:szCs w:val="24"/>
        </w:rPr>
        <w:t>.</w:t>
      </w:r>
      <w:r>
        <w:rPr>
          <w:rFonts w:cs="Times New Roman"/>
          <w:color w:val="000000" w:themeColor="text1"/>
          <w:szCs w:val="24"/>
        </w:rPr>
        <w:t xml:space="preserve"> </w:t>
      </w:r>
      <w:r w:rsidR="000A08E4">
        <w:rPr>
          <w:rFonts w:cs="Times New Roman"/>
          <w:color w:val="000000" w:themeColor="text1"/>
          <w:szCs w:val="24"/>
        </w:rPr>
        <w:t xml:space="preserve">Dual enrollment </w:t>
      </w:r>
      <w:r>
        <w:rPr>
          <w:rFonts w:cs="Times New Roman"/>
          <w:color w:val="000000" w:themeColor="text1"/>
          <w:szCs w:val="24"/>
        </w:rPr>
        <w:t>represent</w:t>
      </w:r>
      <w:r w:rsidR="0027008F">
        <w:rPr>
          <w:rFonts w:cs="Times New Roman"/>
          <w:color w:val="000000" w:themeColor="text1"/>
          <w:szCs w:val="24"/>
        </w:rPr>
        <w:t>ed</w:t>
      </w:r>
      <w:r>
        <w:rPr>
          <w:rFonts w:cs="Times New Roman"/>
          <w:color w:val="000000" w:themeColor="text1"/>
          <w:szCs w:val="24"/>
        </w:rPr>
        <w:t xml:space="preserve"> the fastest-growing group of students in the respective areas (TBR, </w:t>
      </w:r>
      <w:r w:rsidR="005765B2" w:rsidRPr="001A3AE6">
        <w:rPr>
          <w:rFonts w:cs="Times New Roman"/>
          <w:color w:val="000000" w:themeColor="text1"/>
          <w:szCs w:val="24"/>
        </w:rPr>
        <w:t>2023</w:t>
      </w:r>
      <w:r w:rsidRPr="001A3AE6">
        <w:rPr>
          <w:rFonts w:cs="Times New Roman"/>
          <w:color w:val="000000" w:themeColor="text1"/>
          <w:szCs w:val="24"/>
        </w:rPr>
        <w:t xml:space="preserve">). </w:t>
      </w:r>
      <w:r w:rsidR="00E72110" w:rsidRPr="001A3AE6">
        <w:rPr>
          <w:rFonts w:cs="Times New Roman"/>
          <w:color w:val="000000" w:themeColor="text1"/>
          <w:szCs w:val="24"/>
        </w:rPr>
        <w:t>With 2 million dual enrollment students, or 71% of all dual enrollment students, community colleges in the US served more dual enrollment students in 2023-24 than any other postsecondary sector (Fink, 2025)</w:t>
      </w:r>
      <w:r w:rsidR="008D146F" w:rsidRPr="001A3AE6">
        <w:rPr>
          <w:rFonts w:cs="Times New Roman"/>
          <w:color w:val="000000" w:themeColor="text1"/>
          <w:szCs w:val="24"/>
        </w:rPr>
        <w:t>. However, the ongoing growth of dual enrollment is not limited to a few states or institutions</w:t>
      </w:r>
      <w:r w:rsidR="00773A38" w:rsidRPr="001A3AE6">
        <w:rPr>
          <w:rFonts w:cs="Times New Roman"/>
          <w:color w:val="000000" w:themeColor="text1"/>
          <w:szCs w:val="24"/>
        </w:rPr>
        <w:t xml:space="preserve"> (Fink, 2025)</w:t>
      </w:r>
      <w:r w:rsidR="008D146F" w:rsidRPr="001A3AE6">
        <w:rPr>
          <w:rFonts w:cs="Times New Roman"/>
          <w:color w:val="000000" w:themeColor="text1"/>
          <w:szCs w:val="24"/>
        </w:rPr>
        <w:t xml:space="preserve">. </w:t>
      </w:r>
      <w:r w:rsidR="00773A38" w:rsidRPr="001A3AE6">
        <w:rPr>
          <w:rFonts w:cs="Times New Roman"/>
          <w:color w:val="000000" w:themeColor="text1"/>
          <w:szCs w:val="24"/>
        </w:rPr>
        <w:t xml:space="preserve">Instead, in almost </w:t>
      </w:r>
      <w:r w:rsidR="008D146F" w:rsidRPr="001A3AE6">
        <w:rPr>
          <w:rFonts w:cs="Times New Roman"/>
          <w:color w:val="000000" w:themeColor="text1"/>
          <w:szCs w:val="24"/>
        </w:rPr>
        <w:t>every state and most cities nationwide</w:t>
      </w:r>
      <w:r w:rsidR="00773A38" w:rsidRPr="001A3AE6">
        <w:rPr>
          <w:rFonts w:cs="Times New Roman"/>
          <w:color w:val="000000" w:themeColor="text1"/>
          <w:szCs w:val="24"/>
        </w:rPr>
        <w:t>, schools and universities have increased dual enrollment opportunities for students (Fink, 2025).</w:t>
      </w:r>
    </w:p>
    <w:p w14:paraId="0DE7D236" w14:textId="7707862A" w:rsidR="00B92AD5" w:rsidRPr="00BA3A4D" w:rsidRDefault="00B92AD5" w:rsidP="00B92AD5">
      <w:pPr>
        <w:ind w:firstLine="720"/>
        <w:rPr>
          <w:rFonts w:cs="Times New Roman"/>
          <w:color w:val="000000" w:themeColor="text1"/>
          <w:szCs w:val="24"/>
        </w:rPr>
      </w:pPr>
      <w:r>
        <w:rPr>
          <w:rFonts w:cs="Times New Roman"/>
          <w:color w:val="000000" w:themeColor="text1"/>
          <w:szCs w:val="24"/>
        </w:rPr>
        <w:t>Created in the early 1970s, the original intent of dual enrollment was to provide a more rigorous curriculum to advanced seniors (</w:t>
      </w:r>
      <w:bookmarkStart w:id="15" w:name="_Hlk181441579"/>
      <w:r>
        <w:rPr>
          <w:rFonts w:cs="Times New Roman"/>
          <w:color w:val="000000" w:themeColor="text1"/>
          <w:szCs w:val="24"/>
        </w:rPr>
        <w:t>Kim et al., 2006</w:t>
      </w:r>
      <w:bookmarkEnd w:id="15"/>
      <w:r>
        <w:rPr>
          <w:rFonts w:cs="Times New Roman"/>
          <w:color w:val="000000" w:themeColor="text1"/>
          <w:szCs w:val="24"/>
        </w:rPr>
        <w:t>). M</w:t>
      </w:r>
      <w:r w:rsidRPr="00BA3A4D">
        <w:rPr>
          <w:rFonts w:cs="Times New Roman"/>
          <w:color w:val="000000" w:themeColor="text1"/>
          <w:szCs w:val="24"/>
        </w:rPr>
        <w:t xml:space="preserve">any students may be unaware of the high expectations </w:t>
      </w:r>
      <w:r>
        <w:rPr>
          <w:rFonts w:cs="Times New Roman"/>
          <w:color w:val="000000" w:themeColor="text1"/>
          <w:szCs w:val="24"/>
        </w:rPr>
        <w:t xml:space="preserve">associated with postsecondary education (Bailey et al., 2002), and dual enrollment courses can help introduce them to the rigors of college-level coursework </w:t>
      </w:r>
      <w:r w:rsidRPr="00A22DAC">
        <w:rPr>
          <w:rFonts w:cs="Times New Roman"/>
          <w:color w:val="000000" w:themeColor="text1"/>
          <w:szCs w:val="24"/>
        </w:rPr>
        <w:t>(</w:t>
      </w:r>
      <w:r>
        <w:rPr>
          <w:rFonts w:cs="Times New Roman"/>
          <w:color w:val="000000" w:themeColor="text1"/>
          <w:szCs w:val="24"/>
        </w:rPr>
        <w:t xml:space="preserve">Kim et al., </w:t>
      </w:r>
      <w:r w:rsidRPr="00A22DAC">
        <w:rPr>
          <w:rFonts w:cs="Times New Roman"/>
          <w:color w:val="000000" w:themeColor="text1"/>
          <w:szCs w:val="24"/>
        </w:rPr>
        <w:t>2006)</w:t>
      </w:r>
      <w:r>
        <w:rPr>
          <w:rFonts w:cs="Times New Roman"/>
          <w:color w:val="000000" w:themeColor="text1"/>
          <w:szCs w:val="24"/>
        </w:rPr>
        <w:t xml:space="preserve">. With this opportunity, students get an increased chance </w:t>
      </w:r>
      <w:r w:rsidR="0060521A">
        <w:rPr>
          <w:rFonts w:cs="Times New Roman"/>
          <w:color w:val="000000" w:themeColor="text1"/>
          <w:szCs w:val="24"/>
        </w:rPr>
        <w:t>to</w:t>
      </w:r>
      <w:r>
        <w:rPr>
          <w:rFonts w:cs="Times New Roman"/>
          <w:color w:val="000000" w:themeColor="text1"/>
          <w:szCs w:val="24"/>
        </w:rPr>
        <w:t xml:space="preserve"> contin</w:t>
      </w:r>
      <w:r w:rsidR="0060521A">
        <w:rPr>
          <w:rFonts w:cs="Times New Roman"/>
          <w:color w:val="000000" w:themeColor="text1"/>
          <w:szCs w:val="24"/>
        </w:rPr>
        <w:t>ue</w:t>
      </w:r>
      <w:r>
        <w:rPr>
          <w:rFonts w:cs="Times New Roman"/>
          <w:color w:val="000000" w:themeColor="text1"/>
          <w:szCs w:val="24"/>
        </w:rPr>
        <w:t xml:space="preserve"> college beyond their first semester (Arnold et al., 2017)</w:t>
      </w:r>
      <w:r w:rsidRPr="00A22DAC">
        <w:rPr>
          <w:rFonts w:cs="Times New Roman"/>
          <w:color w:val="000000" w:themeColor="text1"/>
          <w:szCs w:val="24"/>
        </w:rPr>
        <w:t>.</w:t>
      </w:r>
      <w:r w:rsidRPr="00BA3A4D">
        <w:rPr>
          <w:rFonts w:cs="Times New Roman"/>
          <w:color w:val="000000" w:themeColor="text1"/>
          <w:szCs w:val="24"/>
        </w:rPr>
        <w:t xml:space="preserve"> </w:t>
      </w:r>
      <w:r w:rsidR="004D5ECE">
        <w:rPr>
          <w:rFonts w:cs="Times New Roman"/>
          <w:color w:val="000000" w:themeColor="text1"/>
          <w:szCs w:val="24"/>
        </w:rPr>
        <w:t>“</w:t>
      </w:r>
      <w:r w:rsidRPr="00BA3A4D">
        <w:rPr>
          <w:rFonts w:cs="Times New Roman"/>
          <w:color w:val="000000" w:themeColor="text1"/>
          <w:szCs w:val="24"/>
        </w:rPr>
        <w:t>Dual enrollment</w:t>
      </w:r>
      <w:r w:rsidR="00FE3AC5">
        <w:rPr>
          <w:rFonts w:cs="Times New Roman"/>
          <w:color w:val="000000" w:themeColor="text1"/>
          <w:szCs w:val="24"/>
        </w:rPr>
        <w:t xml:space="preserve"> programs</w:t>
      </w:r>
      <w:r w:rsidRPr="00BA3A4D">
        <w:rPr>
          <w:rFonts w:cs="Times New Roman"/>
          <w:color w:val="000000" w:themeColor="text1"/>
          <w:szCs w:val="24"/>
        </w:rPr>
        <w:t xml:space="preserve"> </w:t>
      </w:r>
      <w:r w:rsidR="00FE3AC5">
        <w:rPr>
          <w:rFonts w:cs="Times New Roman"/>
          <w:color w:val="000000" w:themeColor="text1"/>
          <w:szCs w:val="24"/>
        </w:rPr>
        <w:t>are educational initiatives that permit high school students to enroll in higher education courses whereby they receive both college and high school credit</w:t>
      </w:r>
      <w:r w:rsidR="004D5ECE">
        <w:rPr>
          <w:rFonts w:cs="Times New Roman"/>
          <w:color w:val="000000" w:themeColor="text1"/>
          <w:szCs w:val="24"/>
        </w:rPr>
        <w:t>”</w:t>
      </w:r>
      <w:r w:rsidR="00FE3AC5">
        <w:rPr>
          <w:rFonts w:cs="Times New Roman"/>
          <w:color w:val="000000" w:themeColor="text1"/>
          <w:szCs w:val="24"/>
        </w:rPr>
        <w:t xml:space="preserve"> (Schaller et al.,</w:t>
      </w:r>
      <w:r w:rsidR="009B7773">
        <w:rPr>
          <w:rFonts w:cs="Times New Roman"/>
          <w:color w:val="000000" w:themeColor="text1"/>
          <w:szCs w:val="24"/>
        </w:rPr>
        <w:t xml:space="preserve"> 2025,</w:t>
      </w:r>
      <w:r w:rsidR="00FE3AC5">
        <w:rPr>
          <w:rFonts w:cs="Times New Roman"/>
          <w:color w:val="000000" w:themeColor="text1"/>
          <w:szCs w:val="24"/>
        </w:rPr>
        <w:t xml:space="preserve"> p. 266)</w:t>
      </w:r>
      <w:r w:rsidRPr="00BA3A4D">
        <w:rPr>
          <w:rFonts w:cs="Times New Roman"/>
          <w:color w:val="000000" w:themeColor="text1"/>
          <w:szCs w:val="24"/>
        </w:rPr>
        <w:t xml:space="preserve">. </w:t>
      </w:r>
      <w:r w:rsidR="00792E14">
        <w:rPr>
          <w:rFonts w:cs="Times New Roman"/>
          <w:color w:val="000000" w:themeColor="text1"/>
          <w:szCs w:val="24"/>
        </w:rPr>
        <w:t>Karp et al. (2012) note</w:t>
      </w:r>
      <w:r w:rsidR="00734075">
        <w:rPr>
          <w:rFonts w:cs="Times New Roman"/>
          <w:color w:val="000000" w:themeColor="text1"/>
          <w:szCs w:val="24"/>
        </w:rPr>
        <w:t>d</w:t>
      </w:r>
      <w:r w:rsidR="00792E14">
        <w:rPr>
          <w:rFonts w:cs="Times New Roman"/>
          <w:color w:val="000000" w:themeColor="text1"/>
          <w:szCs w:val="24"/>
        </w:rPr>
        <w:t xml:space="preserve"> dual enrollment in</w:t>
      </w:r>
      <w:r w:rsidR="009625FE">
        <w:rPr>
          <w:rFonts w:cs="Times New Roman"/>
          <w:color w:val="000000" w:themeColor="text1"/>
          <w:szCs w:val="24"/>
        </w:rPr>
        <w:t xml:space="preserve"> Tennessee</w:t>
      </w:r>
      <w:r w:rsidR="00792E14">
        <w:rPr>
          <w:rFonts w:cs="Times New Roman"/>
          <w:color w:val="000000" w:themeColor="text1"/>
          <w:szCs w:val="24"/>
        </w:rPr>
        <w:t xml:space="preserve"> is an “arrangement in which high school students enroll in college courses and earn college credit that is recorded on a regular college transcript” (p. 1).  </w:t>
      </w:r>
      <w:r w:rsidRPr="00BA3A4D">
        <w:rPr>
          <w:rFonts w:cs="Times New Roman"/>
          <w:color w:val="000000" w:themeColor="text1"/>
          <w:szCs w:val="24"/>
        </w:rPr>
        <w:t>For this study</w:t>
      </w:r>
      <w:r>
        <w:rPr>
          <w:rFonts w:cs="Times New Roman"/>
          <w:color w:val="000000" w:themeColor="text1"/>
          <w:szCs w:val="24"/>
        </w:rPr>
        <w:t>,</w:t>
      </w:r>
      <w:r w:rsidRPr="00BA3A4D">
        <w:rPr>
          <w:rFonts w:cs="Times New Roman"/>
          <w:color w:val="000000" w:themeColor="text1"/>
          <w:szCs w:val="24"/>
        </w:rPr>
        <w:t xml:space="preserve"> dual enrollment </w:t>
      </w:r>
      <w:r w:rsidR="0060521A">
        <w:rPr>
          <w:rFonts w:cs="Times New Roman"/>
          <w:color w:val="000000" w:themeColor="text1"/>
          <w:szCs w:val="24"/>
        </w:rPr>
        <w:t>was</w:t>
      </w:r>
      <w:r w:rsidRPr="00BA3A4D">
        <w:rPr>
          <w:rFonts w:cs="Times New Roman"/>
          <w:color w:val="000000" w:themeColor="text1"/>
          <w:szCs w:val="24"/>
        </w:rPr>
        <w:t xml:space="preserve"> defined as college courses taken by high school students for college course credit. </w:t>
      </w:r>
    </w:p>
    <w:p w14:paraId="4A09E625" w14:textId="1D537B58" w:rsidR="00B92AD5" w:rsidRPr="00BA3A4D" w:rsidRDefault="00B92AD5" w:rsidP="00734075">
      <w:pPr>
        <w:spacing w:before="120"/>
        <w:ind w:firstLine="720"/>
        <w:rPr>
          <w:rFonts w:eastAsia="Times New Roman" w:cs="Times New Roman"/>
          <w:color w:val="000000" w:themeColor="text1"/>
          <w:spacing w:val="3"/>
          <w:szCs w:val="24"/>
        </w:rPr>
      </w:pPr>
      <w:r w:rsidRPr="00BA3A4D">
        <w:rPr>
          <w:rFonts w:eastAsia="Times New Roman" w:cs="Times New Roman"/>
          <w:color w:val="000000" w:themeColor="text1"/>
          <w:spacing w:val="3"/>
          <w:szCs w:val="24"/>
        </w:rPr>
        <w:lastRenderedPageBreak/>
        <w:t xml:space="preserve">Tennessee encourages college readiness </w:t>
      </w:r>
      <w:r w:rsidRPr="00A04E43">
        <w:rPr>
          <w:rFonts w:eastAsia="Times New Roman" w:cs="Times New Roman"/>
          <w:color w:val="000000" w:themeColor="text1"/>
          <w:spacing w:val="3"/>
          <w:szCs w:val="24"/>
        </w:rPr>
        <w:t>through dual enrollment opportunities that help prepare students for postsecondary education (</w:t>
      </w:r>
      <w:r w:rsidR="00A04E43" w:rsidRPr="00A04E43">
        <w:rPr>
          <w:rFonts w:eastAsia="Times New Roman" w:cs="Times New Roman"/>
          <w:color w:val="000000" w:themeColor="text1"/>
          <w:spacing w:val="3"/>
          <w:szCs w:val="24"/>
        </w:rPr>
        <w:t>Melons</w:t>
      </w:r>
      <w:r w:rsidRPr="00A04E43">
        <w:rPr>
          <w:rFonts w:eastAsia="Times New Roman" w:cs="Times New Roman"/>
          <w:color w:val="000000" w:themeColor="text1"/>
          <w:spacing w:val="3"/>
          <w:szCs w:val="24"/>
        </w:rPr>
        <w:t xml:space="preserve"> et al., </w:t>
      </w:r>
      <w:r w:rsidRPr="005863E6">
        <w:rPr>
          <w:rFonts w:eastAsia="Times New Roman" w:cs="Times New Roman"/>
          <w:color w:val="000000" w:themeColor="text1"/>
          <w:spacing w:val="3"/>
          <w:szCs w:val="24"/>
        </w:rPr>
        <w:t>20</w:t>
      </w:r>
      <w:r w:rsidR="00A04E43" w:rsidRPr="005863E6">
        <w:rPr>
          <w:rFonts w:eastAsia="Times New Roman" w:cs="Times New Roman"/>
          <w:color w:val="000000" w:themeColor="text1"/>
          <w:spacing w:val="3"/>
          <w:szCs w:val="24"/>
        </w:rPr>
        <w:t>22</w:t>
      </w:r>
      <w:r w:rsidRPr="005863E6">
        <w:rPr>
          <w:rFonts w:eastAsia="Times New Roman" w:cs="Times New Roman"/>
          <w:color w:val="000000" w:themeColor="text1"/>
          <w:spacing w:val="3"/>
          <w:szCs w:val="24"/>
        </w:rPr>
        <w:t>).</w:t>
      </w:r>
      <w:r w:rsidRPr="00BA3A4D">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Policymakers and educators believe</w:t>
      </w:r>
      <w:r w:rsidRPr="00BA3A4D">
        <w:rPr>
          <w:rFonts w:eastAsia="Times New Roman" w:cs="Times New Roman"/>
          <w:color w:val="000000" w:themeColor="text1"/>
          <w:spacing w:val="3"/>
          <w:szCs w:val="24"/>
        </w:rPr>
        <w:t xml:space="preserve"> that students must be able to withstand and meet the rigors of postsecondary education as a crucial step in degree attainment (Kar</w:t>
      </w:r>
      <w:r w:rsidR="00247C9F">
        <w:rPr>
          <w:rFonts w:eastAsia="Times New Roman" w:cs="Times New Roman"/>
          <w:color w:val="000000" w:themeColor="text1"/>
          <w:spacing w:val="3"/>
          <w:szCs w:val="24"/>
        </w:rPr>
        <w:t>p</w:t>
      </w:r>
      <w:r w:rsidRPr="00BA3A4D">
        <w:rPr>
          <w:rFonts w:eastAsia="Times New Roman" w:cs="Times New Roman"/>
          <w:color w:val="000000" w:themeColor="text1"/>
          <w:spacing w:val="3"/>
          <w:szCs w:val="24"/>
        </w:rPr>
        <w:t xml:space="preserve"> et al., 2012). </w:t>
      </w:r>
      <w:bookmarkStart w:id="16" w:name="_Hlk193725878"/>
      <w:r w:rsidR="005A5812">
        <w:rPr>
          <w:rFonts w:eastAsia="Times New Roman" w:cs="Times New Roman"/>
          <w:color w:val="000000" w:themeColor="text1"/>
          <w:spacing w:val="3"/>
          <w:szCs w:val="24"/>
        </w:rPr>
        <w:t>D</w:t>
      </w:r>
      <w:r w:rsidRPr="00BA3A4D">
        <w:rPr>
          <w:rFonts w:eastAsia="Times New Roman" w:cs="Times New Roman"/>
          <w:color w:val="000000" w:themeColor="text1"/>
          <w:spacing w:val="3"/>
          <w:szCs w:val="24"/>
        </w:rPr>
        <w:t xml:space="preserve">ual enrollment </w:t>
      </w:r>
      <w:r w:rsidR="005A5812">
        <w:rPr>
          <w:rFonts w:eastAsia="Times New Roman" w:cs="Times New Roman"/>
          <w:color w:val="000000" w:themeColor="text1"/>
          <w:spacing w:val="3"/>
          <w:szCs w:val="24"/>
        </w:rPr>
        <w:t xml:space="preserve">may </w:t>
      </w:r>
      <w:r w:rsidRPr="00BA3A4D">
        <w:rPr>
          <w:rFonts w:eastAsia="Times New Roman" w:cs="Times New Roman"/>
          <w:color w:val="000000" w:themeColor="text1"/>
          <w:spacing w:val="3"/>
          <w:szCs w:val="24"/>
        </w:rPr>
        <w:t>increase high school graduation rates, college enrollment, and college completion</w:t>
      </w:r>
      <w:r w:rsidR="005A5812">
        <w:rPr>
          <w:rFonts w:eastAsia="Times New Roman" w:cs="Times New Roman"/>
          <w:color w:val="000000" w:themeColor="text1"/>
          <w:spacing w:val="3"/>
          <w:szCs w:val="24"/>
        </w:rPr>
        <w:t>.</w:t>
      </w:r>
      <w:r>
        <w:rPr>
          <w:rFonts w:eastAsia="Times New Roman" w:cs="Times New Roman"/>
          <w:color w:val="000000" w:themeColor="text1"/>
          <w:spacing w:val="3"/>
          <w:szCs w:val="24"/>
        </w:rPr>
        <w:t xml:space="preserve"> </w:t>
      </w:r>
      <w:r w:rsidR="005A5812">
        <w:rPr>
          <w:rFonts w:eastAsia="Times New Roman" w:cs="Times New Roman"/>
          <w:color w:val="000000" w:themeColor="text1"/>
          <w:spacing w:val="3"/>
          <w:szCs w:val="24"/>
        </w:rPr>
        <w:t>I</w:t>
      </w:r>
      <w:r>
        <w:rPr>
          <w:rFonts w:eastAsia="Times New Roman" w:cs="Times New Roman"/>
          <w:color w:val="000000" w:themeColor="text1"/>
          <w:spacing w:val="3"/>
          <w:szCs w:val="24"/>
        </w:rPr>
        <w:t xml:space="preserve">t also improves college readiness by enabling students to develop postsecondary study habits and learn how to conduct themselves in college-level courses, especially those </w:t>
      </w:r>
      <w:r w:rsidRPr="00BA3A4D">
        <w:rPr>
          <w:rFonts w:eastAsia="Times New Roman" w:cs="Times New Roman"/>
          <w:color w:val="000000" w:themeColor="text1"/>
          <w:spacing w:val="3"/>
          <w:szCs w:val="24"/>
        </w:rPr>
        <w:t>taken on college campuses (Kar</w:t>
      </w:r>
      <w:r w:rsidR="00247C9F">
        <w:rPr>
          <w:rFonts w:eastAsia="Times New Roman" w:cs="Times New Roman"/>
          <w:color w:val="000000" w:themeColor="text1"/>
          <w:spacing w:val="3"/>
          <w:szCs w:val="24"/>
        </w:rPr>
        <w:t>p</w:t>
      </w:r>
      <w:r w:rsidRPr="00BA3A4D">
        <w:rPr>
          <w:rFonts w:eastAsia="Times New Roman" w:cs="Times New Roman"/>
          <w:color w:val="000000" w:themeColor="text1"/>
          <w:spacing w:val="3"/>
          <w:szCs w:val="24"/>
        </w:rPr>
        <w:t xml:space="preserve"> et al., 2012</w:t>
      </w:r>
      <w:r w:rsidR="00854B63">
        <w:rPr>
          <w:rFonts w:eastAsia="Times New Roman" w:cs="Times New Roman"/>
          <w:color w:val="000000" w:themeColor="text1"/>
          <w:spacing w:val="3"/>
          <w:szCs w:val="24"/>
        </w:rPr>
        <w:t>; Lile et al., 2018</w:t>
      </w:r>
      <w:r w:rsidRPr="00BA3A4D">
        <w:rPr>
          <w:rFonts w:eastAsia="Times New Roman" w:cs="Times New Roman"/>
          <w:color w:val="000000" w:themeColor="text1"/>
          <w:spacing w:val="3"/>
          <w:szCs w:val="24"/>
        </w:rPr>
        <w:t xml:space="preserve">). </w:t>
      </w:r>
      <w:bookmarkEnd w:id="16"/>
    </w:p>
    <w:p w14:paraId="78CEF53A" w14:textId="58C0E4BA" w:rsidR="00B92AD5" w:rsidRPr="00BA3A4D" w:rsidRDefault="00B92AD5" w:rsidP="00B92AD5">
      <w:pPr>
        <w:spacing w:before="120"/>
        <w:ind w:firstLine="720"/>
        <w:rPr>
          <w:rFonts w:eastAsia="Times New Roman" w:cs="Times New Roman"/>
          <w:color w:val="000000" w:themeColor="text1"/>
          <w:szCs w:val="24"/>
        </w:rPr>
      </w:pPr>
      <w:r w:rsidRPr="00BA3A4D">
        <w:rPr>
          <w:rFonts w:eastAsia="Times New Roman" w:cs="Times New Roman"/>
          <w:color w:val="000000" w:themeColor="text1"/>
          <w:szCs w:val="24"/>
        </w:rPr>
        <w:t>Grub et al. (2017) reported that dual enrollment has been shown to benefit students at the community college level</w:t>
      </w:r>
      <w:r>
        <w:rPr>
          <w:rFonts w:eastAsia="Times New Roman" w:cs="Times New Roman"/>
          <w:color w:val="000000" w:themeColor="text1"/>
          <w:szCs w:val="24"/>
        </w:rPr>
        <w:t>, as participants tend</w:t>
      </w:r>
      <w:r w:rsidRPr="00BA3A4D">
        <w:rPr>
          <w:rFonts w:eastAsia="Times New Roman" w:cs="Times New Roman"/>
          <w:color w:val="000000" w:themeColor="text1"/>
          <w:szCs w:val="24"/>
        </w:rPr>
        <w:t xml:space="preserve"> to avoid remediation and experience a higher rate of timely completion</w:t>
      </w:r>
      <w:r w:rsidRPr="00E76251">
        <w:rPr>
          <w:rFonts w:eastAsia="Times New Roman" w:cs="Times New Roman"/>
          <w:color w:val="000000" w:themeColor="text1"/>
          <w:szCs w:val="24"/>
        </w:rPr>
        <w:t xml:space="preserve">. With </w:t>
      </w:r>
      <w:r w:rsidR="00E76251" w:rsidRPr="00E76251">
        <w:rPr>
          <w:rFonts w:eastAsia="Times New Roman" w:cs="Times New Roman"/>
          <w:color w:val="000000" w:themeColor="text1"/>
          <w:szCs w:val="24"/>
        </w:rPr>
        <w:t>the increase in</w:t>
      </w:r>
      <w:r w:rsidRPr="00E76251">
        <w:rPr>
          <w:rFonts w:eastAsia="Times New Roman" w:cs="Times New Roman"/>
          <w:color w:val="000000" w:themeColor="text1"/>
          <w:szCs w:val="24"/>
        </w:rPr>
        <w:t xml:space="preserve"> dual enrollment across states, it is crucial to compare the benefits and contributions of dual enrollment to completion rates in a timely manner.</w:t>
      </w:r>
    </w:p>
    <w:p w14:paraId="6E2E71DE" w14:textId="73255893" w:rsidR="00534C34" w:rsidRPr="00534C34" w:rsidRDefault="000B4029" w:rsidP="00534C34">
      <w:pPr>
        <w:pStyle w:val="Heading3"/>
      </w:pPr>
      <w:bookmarkStart w:id="17" w:name="_Toc224458882"/>
      <w:r>
        <w:t>Purpose</w:t>
      </w:r>
      <w:r w:rsidR="00734075">
        <w:t xml:space="preserve"> Statement</w:t>
      </w:r>
      <w:bookmarkEnd w:id="17"/>
    </w:p>
    <w:p w14:paraId="06D35394" w14:textId="712D3036" w:rsidR="006E614C" w:rsidRDefault="00734B0B" w:rsidP="006E614C">
      <w:pPr>
        <w:spacing w:after="160"/>
        <w:ind w:firstLine="720"/>
        <w:rPr>
          <w:rFonts w:cs="Times New Roman"/>
          <w:color w:val="000000" w:themeColor="text1"/>
          <w:szCs w:val="24"/>
        </w:rPr>
      </w:pPr>
      <w:bookmarkStart w:id="18" w:name="_Hlk186716203"/>
      <w:r w:rsidRPr="00534C34">
        <w:rPr>
          <w:rFonts w:cs="Times New Roman"/>
          <w:color w:val="000000" w:themeColor="text1"/>
          <w:spacing w:val="3"/>
          <w:szCs w:val="24"/>
        </w:rPr>
        <w:t>The purpose of this non-experimental</w:t>
      </w:r>
      <w:r w:rsidR="005A5812">
        <w:rPr>
          <w:rFonts w:cs="Times New Roman"/>
          <w:color w:val="000000" w:themeColor="text1"/>
          <w:spacing w:val="3"/>
          <w:szCs w:val="24"/>
        </w:rPr>
        <w:t>,</w:t>
      </w:r>
      <w:r w:rsidRPr="00534C34">
        <w:rPr>
          <w:rFonts w:cs="Times New Roman"/>
          <w:color w:val="000000" w:themeColor="text1"/>
          <w:spacing w:val="3"/>
          <w:szCs w:val="24"/>
        </w:rPr>
        <w:t xml:space="preserve"> quantitative study </w:t>
      </w:r>
      <w:r w:rsidR="009414F4">
        <w:rPr>
          <w:rFonts w:cs="Times New Roman"/>
          <w:color w:val="000000" w:themeColor="text1"/>
          <w:spacing w:val="3"/>
          <w:szCs w:val="24"/>
        </w:rPr>
        <w:t>was</w:t>
      </w:r>
      <w:r w:rsidRPr="00534C34">
        <w:rPr>
          <w:rFonts w:cs="Times New Roman"/>
          <w:color w:val="000000" w:themeColor="text1"/>
          <w:spacing w:val="3"/>
          <w:szCs w:val="24"/>
        </w:rPr>
        <w:t xml:space="preserve"> </w:t>
      </w:r>
      <w:r>
        <w:rPr>
          <w:rFonts w:cs="Times New Roman"/>
          <w:color w:val="000000" w:themeColor="text1"/>
          <w:spacing w:val="3"/>
          <w:szCs w:val="24"/>
        </w:rPr>
        <w:t xml:space="preserve">to examine the relationship between dual enrollment participation and completion rates among first-time, full-time students at a </w:t>
      </w:r>
      <w:r w:rsidR="005A5812">
        <w:rPr>
          <w:rFonts w:cs="Times New Roman"/>
          <w:color w:val="000000" w:themeColor="text1"/>
          <w:spacing w:val="3"/>
          <w:szCs w:val="24"/>
        </w:rPr>
        <w:t>S</w:t>
      </w:r>
      <w:r>
        <w:rPr>
          <w:rFonts w:cs="Times New Roman"/>
          <w:color w:val="000000" w:themeColor="text1"/>
          <w:spacing w:val="3"/>
          <w:szCs w:val="24"/>
        </w:rPr>
        <w:t xml:space="preserve">outheastern community college. </w:t>
      </w:r>
      <w:r w:rsidRPr="00534C34">
        <w:rPr>
          <w:rFonts w:cs="Times New Roman"/>
          <w:color w:val="000000" w:themeColor="text1"/>
          <w:spacing w:val="3"/>
          <w:szCs w:val="24"/>
        </w:rPr>
        <w:t xml:space="preserve"> </w:t>
      </w:r>
      <w:r>
        <w:rPr>
          <w:rFonts w:cs="Times New Roman"/>
          <w:color w:val="000000" w:themeColor="text1"/>
          <w:spacing w:val="3"/>
          <w:szCs w:val="24"/>
        </w:rPr>
        <w:t xml:space="preserve">Specifically, the </w:t>
      </w:r>
      <w:r w:rsidR="005A5812">
        <w:rPr>
          <w:rFonts w:cs="Times New Roman"/>
          <w:color w:val="000000" w:themeColor="text1"/>
          <w:spacing w:val="3"/>
          <w:szCs w:val="24"/>
        </w:rPr>
        <w:t xml:space="preserve">intent of the </w:t>
      </w:r>
      <w:r>
        <w:rPr>
          <w:rFonts w:cs="Times New Roman"/>
          <w:color w:val="000000" w:themeColor="text1"/>
          <w:spacing w:val="3"/>
          <w:szCs w:val="24"/>
        </w:rPr>
        <w:t xml:space="preserve">study </w:t>
      </w:r>
      <w:r w:rsidR="005A5812">
        <w:rPr>
          <w:rFonts w:cs="Times New Roman"/>
          <w:color w:val="000000" w:themeColor="text1"/>
          <w:spacing w:val="3"/>
          <w:szCs w:val="24"/>
        </w:rPr>
        <w:t>was</w:t>
      </w:r>
      <w:r>
        <w:rPr>
          <w:rFonts w:cs="Times New Roman"/>
          <w:color w:val="000000" w:themeColor="text1"/>
          <w:spacing w:val="3"/>
          <w:szCs w:val="24"/>
        </w:rPr>
        <w:t xml:space="preserve"> to compare the graduation outcomes of students who completed at least one dual enrollment course while in high school with those who did not participate in dual enrollment. Using archival data from the college’s student information system and institutional fact book, </w:t>
      </w:r>
      <w:r w:rsidR="00AF21F2">
        <w:rPr>
          <w:rFonts w:cs="Times New Roman"/>
          <w:color w:val="000000" w:themeColor="text1"/>
          <w:spacing w:val="3"/>
          <w:szCs w:val="24"/>
        </w:rPr>
        <w:t>I</w:t>
      </w:r>
      <w:r>
        <w:rPr>
          <w:rFonts w:cs="Times New Roman"/>
          <w:color w:val="000000" w:themeColor="text1"/>
          <w:spacing w:val="3"/>
          <w:szCs w:val="24"/>
        </w:rPr>
        <w:t xml:space="preserve"> analyze</w:t>
      </w:r>
      <w:r w:rsidR="009414F4">
        <w:rPr>
          <w:rFonts w:cs="Times New Roman"/>
          <w:color w:val="000000" w:themeColor="text1"/>
          <w:spacing w:val="3"/>
          <w:szCs w:val="24"/>
        </w:rPr>
        <w:t>d</w:t>
      </w:r>
      <w:r>
        <w:rPr>
          <w:rFonts w:cs="Times New Roman"/>
          <w:color w:val="000000" w:themeColor="text1"/>
          <w:spacing w:val="3"/>
          <w:szCs w:val="24"/>
        </w:rPr>
        <w:t xml:space="preserve"> cohorts from 2017 through 202</w:t>
      </w:r>
      <w:r w:rsidR="009417FC">
        <w:rPr>
          <w:rFonts w:cs="Times New Roman"/>
          <w:color w:val="000000" w:themeColor="text1"/>
          <w:spacing w:val="3"/>
          <w:szCs w:val="24"/>
        </w:rPr>
        <w:t>1</w:t>
      </w:r>
      <w:r>
        <w:rPr>
          <w:rFonts w:cs="Times New Roman"/>
          <w:color w:val="000000" w:themeColor="text1"/>
          <w:spacing w:val="3"/>
          <w:szCs w:val="24"/>
        </w:rPr>
        <w:t xml:space="preserve">, </w:t>
      </w:r>
      <w:r w:rsidR="009414F4">
        <w:rPr>
          <w:rFonts w:cs="Times New Roman"/>
          <w:color w:val="000000" w:themeColor="text1"/>
          <w:spacing w:val="3"/>
          <w:szCs w:val="24"/>
        </w:rPr>
        <w:t xml:space="preserve">which </w:t>
      </w:r>
      <w:r>
        <w:rPr>
          <w:rFonts w:cs="Times New Roman"/>
          <w:color w:val="000000" w:themeColor="text1"/>
          <w:spacing w:val="3"/>
          <w:szCs w:val="24"/>
        </w:rPr>
        <w:t>compris</w:t>
      </w:r>
      <w:r w:rsidR="009414F4">
        <w:rPr>
          <w:rFonts w:cs="Times New Roman"/>
          <w:color w:val="000000" w:themeColor="text1"/>
          <w:spacing w:val="3"/>
          <w:szCs w:val="24"/>
        </w:rPr>
        <w:t>ed</w:t>
      </w:r>
      <w:r>
        <w:rPr>
          <w:rFonts w:cs="Times New Roman"/>
          <w:color w:val="000000" w:themeColor="text1"/>
          <w:spacing w:val="3"/>
          <w:szCs w:val="24"/>
        </w:rPr>
        <w:t xml:space="preserve"> </w:t>
      </w:r>
      <w:r w:rsidR="009417FC">
        <w:rPr>
          <w:rFonts w:cs="Times New Roman"/>
          <w:color w:val="000000" w:themeColor="text1"/>
          <w:spacing w:val="3"/>
          <w:szCs w:val="24"/>
        </w:rPr>
        <w:t>6</w:t>
      </w:r>
      <w:r>
        <w:rPr>
          <w:rFonts w:cs="Times New Roman"/>
          <w:color w:val="000000" w:themeColor="text1"/>
          <w:spacing w:val="3"/>
          <w:szCs w:val="24"/>
        </w:rPr>
        <w:t>,</w:t>
      </w:r>
      <w:r w:rsidR="009417FC">
        <w:rPr>
          <w:rFonts w:cs="Times New Roman"/>
          <w:color w:val="000000" w:themeColor="text1"/>
          <w:spacing w:val="3"/>
          <w:szCs w:val="24"/>
        </w:rPr>
        <w:t>9</w:t>
      </w:r>
      <w:r>
        <w:rPr>
          <w:rFonts w:cs="Times New Roman"/>
          <w:color w:val="000000" w:themeColor="text1"/>
          <w:spacing w:val="3"/>
          <w:szCs w:val="24"/>
        </w:rPr>
        <w:t>6</w:t>
      </w:r>
      <w:r w:rsidR="009417FC">
        <w:rPr>
          <w:rFonts w:cs="Times New Roman"/>
          <w:color w:val="000000" w:themeColor="text1"/>
          <w:spacing w:val="3"/>
          <w:szCs w:val="24"/>
        </w:rPr>
        <w:t>9</w:t>
      </w:r>
      <w:r>
        <w:rPr>
          <w:rFonts w:cs="Times New Roman"/>
          <w:color w:val="000000" w:themeColor="text1"/>
          <w:spacing w:val="3"/>
          <w:szCs w:val="24"/>
        </w:rPr>
        <w:t xml:space="preserve"> students. Graduation w</w:t>
      </w:r>
      <w:r w:rsidR="009414F4">
        <w:rPr>
          <w:rFonts w:cs="Times New Roman"/>
          <w:color w:val="000000" w:themeColor="text1"/>
          <w:spacing w:val="3"/>
          <w:szCs w:val="24"/>
        </w:rPr>
        <w:t>as</w:t>
      </w:r>
      <w:r>
        <w:rPr>
          <w:rFonts w:cs="Times New Roman"/>
          <w:color w:val="000000" w:themeColor="text1"/>
          <w:spacing w:val="3"/>
          <w:szCs w:val="24"/>
        </w:rPr>
        <w:t xml:space="preserve"> measured by completion of an associate degree</w:t>
      </w:r>
      <w:r w:rsidR="009417FC">
        <w:rPr>
          <w:rFonts w:cs="Times New Roman"/>
          <w:color w:val="000000" w:themeColor="text1"/>
          <w:spacing w:val="3"/>
          <w:szCs w:val="24"/>
        </w:rPr>
        <w:t xml:space="preserve"> or certificate</w:t>
      </w:r>
      <w:r>
        <w:rPr>
          <w:rFonts w:cs="Times New Roman"/>
          <w:color w:val="000000" w:themeColor="text1"/>
          <w:spacing w:val="3"/>
          <w:szCs w:val="24"/>
        </w:rPr>
        <w:t xml:space="preserve"> within</w:t>
      </w:r>
      <w:r w:rsidR="00A5544D">
        <w:rPr>
          <w:rFonts w:cs="Times New Roman"/>
          <w:color w:val="000000" w:themeColor="text1"/>
          <w:spacing w:val="3"/>
          <w:szCs w:val="24"/>
        </w:rPr>
        <w:t xml:space="preserve"> </w:t>
      </w:r>
      <w:r w:rsidR="006B6A1D">
        <w:rPr>
          <w:rFonts w:cs="Times New Roman"/>
          <w:color w:val="000000" w:themeColor="text1"/>
          <w:spacing w:val="3"/>
          <w:szCs w:val="24"/>
        </w:rPr>
        <w:t>3</w:t>
      </w:r>
      <w:r w:rsidR="00A5544D">
        <w:rPr>
          <w:rFonts w:cs="Times New Roman"/>
          <w:color w:val="000000" w:themeColor="text1"/>
          <w:spacing w:val="3"/>
          <w:szCs w:val="24"/>
        </w:rPr>
        <w:t xml:space="preserve"> years</w:t>
      </w:r>
      <w:r>
        <w:rPr>
          <w:rFonts w:cs="Times New Roman"/>
          <w:color w:val="000000" w:themeColor="text1"/>
          <w:spacing w:val="3"/>
          <w:szCs w:val="24"/>
        </w:rPr>
        <w:t xml:space="preserve"> </w:t>
      </w:r>
      <w:r w:rsidR="00A5544D">
        <w:rPr>
          <w:rFonts w:cs="Times New Roman"/>
          <w:color w:val="000000" w:themeColor="text1"/>
          <w:spacing w:val="3"/>
          <w:szCs w:val="24"/>
        </w:rPr>
        <w:t>(</w:t>
      </w:r>
      <w:r>
        <w:rPr>
          <w:rFonts w:cs="Times New Roman"/>
          <w:color w:val="000000" w:themeColor="text1"/>
          <w:spacing w:val="3"/>
          <w:szCs w:val="24"/>
        </w:rPr>
        <w:t>150%</w:t>
      </w:r>
      <w:r w:rsidR="00A5544D">
        <w:rPr>
          <w:rFonts w:cs="Times New Roman"/>
          <w:color w:val="000000" w:themeColor="text1"/>
          <w:spacing w:val="3"/>
          <w:szCs w:val="24"/>
        </w:rPr>
        <w:t>)</w:t>
      </w:r>
      <w:r w:rsidR="005867A8">
        <w:rPr>
          <w:rFonts w:cs="Times New Roman"/>
          <w:color w:val="000000" w:themeColor="text1"/>
          <w:spacing w:val="3"/>
          <w:szCs w:val="24"/>
        </w:rPr>
        <w:t xml:space="preserve"> (IPEDS, n.d.)</w:t>
      </w:r>
      <w:r>
        <w:rPr>
          <w:rFonts w:cs="Times New Roman"/>
          <w:color w:val="000000" w:themeColor="text1"/>
          <w:spacing w:val="3"/>
          <w:szCs w:val="24"/>
        </w:rPr>
        <w:t xml:space="preserve">. </w:t>
      </w:r>
      <w:r w:rsidR="004473DC">
        <w:rPr>
          <w:rFonts w:cs="Times New Roman"/>
        </w:rPr>
        <w:t xml:space="preserve">Because high school students must have a GPA of 3.0 to 4.0 and an ACT of 21 or greater to be eligible for dual enrollment, only students that met the criteria for dual enrollment while in </w:t>
      </w:r>
      <w:r w:rsidR="004473DC">
        <w:rPr>
          <w:rFonts w:cs="Times New Roman"/>
        </w:rPr>
        <w:lastRenderedPageBreak/>
        <w:t>high school were included in the final sample. Therefore, only students that participated in dual enrollment and non-dual enrollment students who met the criteria for dual enrollment while in high school were included in my study. This distinction is important because it allowed for the comparison of students with similar academic backgrounds to be analyzed in each of the research questions. A total of 2,078 students met the study criteria for inclusion</w:t>
      </w:r>
      <w:r w:rsidR="004473DC" w:rsidRPr="004473DC">
        <w:rPr>
          <w:rFonts w:cs="Times New Roman"/>
        </w:rPr>
        <w:t xml:space="preserve">. </w:t>
      </w:r>
      <w:r w:rsidRPr="004473DC">
        <w:rPr>
          <w:rFonts w:cs="Times New Roman"/>
          <w:color w:val="000000" w:themeColor="text1"/>
          <w:spacing w:val="3"/>
          <w:szCs w:val="24"/>
        </w:rPr>
        <w:t>The findings of this study may contribute to a better understanding</w:t>
      </w:r>
      <w:r>
        <w:rPr>
          <w:rFonts w:cs="Times New Roman"/>
          <w:color w:val="000000" w:themeColor="text1"/>
          <w:spacing w:val="3"/>
          <w:szCs w:val="24"/>
        </w:rPr>
        <w:t xml:space="preserve"> of the effectiveness of dual enrollment as a strategy to support timely degree completion</w:t>
      </w:r>
      <w:r w:rsidR="005A5812">
        <w:rPr>
          <w:rFonts w:cs="Times New Roman"/>
          <w:color w:val="000000" w:themeColor="text1"/>
          <w:spacing w:val="3"/>
          <w:szCs w:val="24"/>
        </w:rPr>
        <w:t>,</w:t>
      </w:r>
      <w:r>
        <w:rPr>
          <w:rFonts w:cs="Times New Roman"/>
          <w:color w:val="000000" w:themeColor="text1"/>
          <w:spacing w:val="3"/>
          <w:szCs w:val="24"/>
        </w:rPr>
        <w:t xml:space="preserve"> inform institutional practices</w:t>
      </w:r>
      <w:r w:rsidR="005A5812">
        <w:rPr>
          <w:rFonts w:cs="Times New Roman"/>
          <w:color w:val="000000" w:themeColor="text1"/>
          <w:spacing w:val="3"/>
          <w:szCs w:val="24"/>
        </w:rPr>
        <w:t>,</w:t>
      </w:r>
      <w:r>
        <w:rPr>
          <w:rFonts w:cs="Times New Roman"/>
          <w:color w:val="000000" w:themeColor="text1"/>
          <w:spacing w:val="3"/>
          <w:szCs w:val="24"/>
        </w:rPr>
        <w:t xml:space="preserve"> and policy decisions related to early postsecondary opportunities.</w:t>
      </w:r>
      <w:r w:rsidR="000B4029">
        <w:rPr>
          <w:rFonts w:cs="Times New Roman"/>
          <w:color w:val="000000" w:themeColor="text1"/>
          <w:spacing w:val="3"/>
          <w:szCs w:val="24"/>
        </w:rPr>
        <w:t xml:space="preserve"> </w:t>
      </w:r>
    </w:p>
    <w:p w14:paraId="72B59BB1" w14:textId="5596B8C1" w:rsidR="000B4029" w:rsidRDefault="000B4029" w:rsidP="00BA451B">
      <w:pPr>
        <w:pStyle w:val="Heading3"/>
      </w:pPr>
      <w:bookmarkStart w:id="19" w:name="_Hlk159592855"/>
      <w:bookmarkStart w:id="20" w:name="_Toc224458883"/>
      <w:bookmarkEnd w:id="18"/>
      <w:r>
        <w:t>Problem</w:t>
      </w:r>
      <w:bookmarkEnd w:id="20"/>
    </w:p>
    <w:p w14:paraId="39C5D70B" w14:textId="7A2EA70A" w:rsidR="00734B0B" w:rsidRPr="00734B0B" w:rsidRDefault="000B4029" w:rsidP="00734B0B">
      <w:r>
        <w:tab/>
      </w:r>
      <w:r w:rsidR="00734B0B" w:rsidRPr="00734B0B">
        <w:t xml:space="preserve">Despite the </w:t>
      </w:r>
      <w:r w:rsidR="00F33806">
        <w:t xml:space="preserve">increased </w:t>
      </w:r>
      <w:r w:rsidR="00734B0B" w:rsidRPr="00734B0B">
        <w:t>popularity and promotion of dual enrollment programs to improve college readiness and increase postsecondary attainment there remain</w:t>
      </w:r>
      <w:r w:rsidR="00F33806">
        <w:t>ed</w:t>
      </w:r>
      <w:r w:rsidR="00734B0B" w:rsidRPr="00734B0B">
        <w:t xml:space="preserve"> a lack of comprehensive, institution-specific data on how participation in these programs influence</w:t>
      </w:r>
      <w:r w:rsidR="00F33806">
        <w:t>d</w:t>
      </w:r>
      <w:r w:rsidR="00734B0B" w:rsidRPr="00734B0B">
        <w:t xml:space="preserve"> actual college completion rates, particularly within community colleges. At </w:t>
      </w:r>
      <w:r w:rsidR="0072272F">
        <w:t>the participating</w:t>
      </w:r>
      <w:r w:rsidR="00734B0B" w:rsidRPr="00734B0B">
        <w:t xml:space="preserve"> college, students enter as first-time, full-time students each year, some with prior dual enrollment experience and others without. However, </w:t>
      </w:r>
      <w:r w:rsidR="00756E28">
        <w:t xml:space="preserve">there </w:t>
      </w:r>
      <w:r w:rsidR="00F33806">
        <w:t>was</w:t>
      </w:r>
      <w:r w:rsidR="00756E28">
        <w:t xml:space="preserve"> limited institutional research </w:t>
      </w:r>
      <w:r w:rsidR="006873C2">
        <w:t xml:space="preserve">exploring whether dual enrollment participation among first-time, full-time students at </w:t>
      </w:r>
      <w:r w:rsidR="00765954">
        <w:t>the participating</w:t>
      </w:r>
      <w:r w:rsidR="006873C2">
        <w:t xml:space="preserve"> community college significantly predicts timely associate degree </w:t>
      </w:r>
      <w:r w:rsidR="008869E7">
        <w:t>completion.</w:t>
      </w:r>
    </w:p>
    <w:p w14:paraId="75D787E0" w14:textId="7EA6B5DF" w:rsidR="00734B0B" w:rsidRPr="00734B0B" w:rsidRDefault="00734B0B" w:rsidP="00734B0B">
      <w:r w:rsidRPr="00734B0B">
        <w:tab/>
        <w:t>This gap in</w:t>
      </w:r>
      <w:r w:rsidR="007E3B5B">
        <w:t>volve</w:t>
      </w:r>
      <w:r w:rsidR="00F33806">
        <w:t>d</w:t>
      </w:r>
      <w:r w:rsidR="007E3B5B">
        <w:t xml:space="preserve"> limited localized data on how dual enrollment participation influence</w:t>
      </w:r>
      <w:r w:rsidR="00F33806">
        <w:t>d</w:t>
      </w:r>
      <w:r w:rsidR="007E3B5B">
        <w:t xml:space="preserve"> associate degree completion at the community college level. This area of inquiry for specific institutional data has</w:t>
      </w:r>
      <w:r w:rsidR="00E25D5B">
        <w:t xml:space="preserve"> the</w:t>
      </w:r>
      <w:r w:rsidR="007E3B5B">
        <w:t xml:space="preserve"> potential to inform local</w:t>
      </w:r>
      <w:r w:rsidRPr="00734B0B">
        <w:t xml:space="preserve"> educators, administrators, and policymakers who make informed decisions about resource allocation, student advising, and curriculum development tied to outcomes-based funding models. As Tennessee and other states continue to invest in early postsecondary opportunities to drive student success, it becomes increasingly </w:t>
      </w:r>
      <w:r w:rsidRPr="00734B0B">
        <w:lastRenderedPageBreak/>
        <w:t>important to evaluate whether these investments translate into higher associate degree completion rates within 150% of the standard program length.</w:t>
      </w:r>
    </w:p>
    <w:p w14:paraId="4CAD8B10" w14:textId="4AA5C1F4" w:rsidR="00734B0B" w:rsidRPr="000B4029" w:rsidRDefault="00734B0B" w:rsidP="00734B0B">
      <w:r w:rsidRPr="00734B0B">
        <w:tab/>
        <w:t>By comparing the graduation rates of students who participated in dual enrollment with those who did not, this study address</w:t>
      </w:r>
      <w:r w:rsidR="00E45EBD">
        <w:t>ed</w:t>
      </w:r>
      <w:r w:rsidRPr="00734B0B">
        <w:t xml:space="preserve"> a pressing need for localized, evidence-based data that can inform institutional practices and contribute to broader conversations around access, equity, and effectiveness in higher education. </w:t>
      </w:r>
      <w:r w:rsidR="00F33806">
        <w:t>An u</w:t>
      </w:r>
      <w:r w:rsidRPr="00734B0B">
        <w:t xml:space="preserve">nderstanding </w:t>
      </w:r>
      <w:r w:rsidR="00F33806">
        <w:t xml:space="preserve">of </w:t>
      </w:r>
      <w:r w:rsidRPr="00734B0B">
        <w:t xml:space="preserve">this relationship is essential </w:t>
      </w:r>
      <w:r w:rsidR="00F33806">
        <w:t>to</w:t>
      </w:r>
      <w:r w:rsidRPr="00734B0B">
        <w:t xml:space="preserve"> determi</w:t>
      </w:r>
      <w:r w:rsidR="00F33806">
        <w:t>n</w:t>
      </w:r>
      <w:r w:rsidR="00671AB4">
        <w:t>e</w:t>
      </w:r>
      <w:r w:rsidRPr="00734B0B">
        <w:t xml:space="preserve"> whether dual enrollment effectively serves as a bridge to academic success or whether additional support is needed to ensure its intended benefits are realized.</w:t>
      </w:r>
    </w:p>
    <w:p w14:paraId="743A070A" w14:textId="280C322C" w:rsidR="00BA451B" w:rsidRDefault="00BA451B" w:rsidP="00BA451B">
      <w:pPr>
        <w:pStyle w:val="Heading3"/>
      </w:pPr>
      <w:bookmarkStart w:id="21" w:name="_Toc224458884"/>
      <w:r>
        <w:t>Significance of the Study</w:t>
      </w:r>
      <w:bookmarkEnd w:id="21"/>
    </w:p>
    <w:bookmarkEnd w:id="19"/>
    <w:p w14:paraId="5338A5A4" w14:textId="0869BA5A" w:rsidR="00734B0B" w:rsidRPr="00AB012C" w:rsidRDefault="00734B0B" w:rsidP="00AB012C">
      <w:pPr>
        <w:ind w:firstLine="720"/>
        <w:rPr>
          <w:rFonts w:cs="Times New Roman"/>
          <w:color w:val="000000" w:themeColor="text1"/>
          <w:szCs w:val="24"/>
        </w:rPr>
      </w:pPr>
      <w:r w:rsidRPr="00734B0B">
        <w:rPr>
          <w:rFonts w:cs="Times New Roman"/>
          <w:color w:val="000000" w:themeColor="text1"/>
          <w:szCs w:val="24"/>
        </w:rPr>
        <w:t>This study could provide valuable insights into the success and completion rates of dual enrollment students in community colleges. As the prevalence of dual enrollment increases, this study may shed light on the potential connections between first-time full-time students and their degree completion at the community college. The results of this study may contribute to other community colleges throughout the Southeast as they examine dual enrollment as a factor in college readiness and completion.</w:t>
      </w:r>
      <w:r w:rsidRPr="00734B0B">
        <w:rPr>
          <w:rFonts w:cs="Times New Roman"/>
          <w:color w:val="000000" w:themeColor="text1"/>
          <w:spacing w:val="3"/>
          <w:szCs w:val="24"/>
        </w:rPr>
        <w:t xml:space="preserve"> </w:t>
      </w:r>
    </w:p>
    <w:p w14:paraId="3F376563" w14:textId="79470DA0" w:rsidR="00734B0B" w:rsidRPr="00A312E4" w:rsidRDefault="00734B0B" w:rsidP="00734B0B">
      <w:pPr>
        <w:rPr>
          <w:rFonts w:cs="Times New Roman"/>
          <w:color w:val="000000" w:themeColor="text1"/>
          <w:spacing w:val="3"/>
          <w:szCs w:val="24"/>
          <w:highlight w:val="yellow"/>
        </w:rPr>
      </w:pPr>
      <w:r w:rsidRPr="00734B0B">
        <w:rPr>
          <w:rFonts w:cs="Times New Roman"/>
          <w:color w:val="000000" w:themeColor="text1"/>
          <w:spacing w:val="3"/>
          <w:szCs w:val="24"/>
        </w:rPr>
        <w:tab/>
        <w:t>The significance of this study lie</w:t>
      </w:r>
      <w:r w:rsidR="00D515E7">
        <w:rPr>
          <w:rFonts w:cs="Times New Roman"/>
          <w:color w:val="000000" w:themeColor="text1"/>
          <w:spacing w:val="3"/>
          <w:szCs w:val="24"/>
        </w:rPr>
        <w:t>s</w:t>
      </w:r>
      <w:r w:rsidRPr="00734B0B">
        <w:rPr>
          <w:rFonts w:cs="Times New Roman"/>
          <w:color w:val="000000" w:themeColor="text1"/>
          <w:spacing w:val="3"/>
          <w:szCs w:val="24"/>
        </w:rPr>
        <w:t xml:space="preserve"> in its potential to enhance understanding of dual enrollment and its impact on completion rates at a community college. Dual enrollment programs, which allow high school students to undertake college-level coursework, have been associated with improved academic outcomes, including higher college enrollment and completion rates (Allen &amp; Dadgar, 2012). By examining the specific impact of dual enrollment on associate degree attainment at a </w:t>
      </w:r>
      <w:r w:rsidR="005B5D35">
        <w:rPr>
          <w:rFonts w:cs="Times New Roman"/>
          <w:color w:val="000000" w:themeColor="text1"/>
          <w:spacing w:val="3"/>
          <w:szCs w:val="24"/>
        </w:rPr>
        <w:t>Tennessee</w:t>
      </w:r>
      <w:r w:rsidRPr="00734B0B">
        <w:rPr>
          <w:rFonts w:cs="Times New Roman"/>
          <w:color w:val="000000" w:themeColor="text1"/>
          <w:spacing w:val="3"/>
          <w:szCs w:val="24"/>
        </w:rPr>
        <w:t xml:space="preserve"> community college, </w:t>
      </w:r>
      <w:r w:rsidRPr="00A312E4">
        <w:rPr>
          <w:rFonts w:cs="Times New Roman"/>
          <w:color w:val="000000" w:themeColor="text1"/>
          <w:spacing w:val="3"/>
          <w:szCs w:val="24"/>
        </w:rPr>
        <w:t>this research can provide valuable insights for policymakers and educators aiming to improve student success.</w:t>
      </w:r>
    </w:p>
    <w:p w14:paraId="4B395484" w14:textId="7101E036" w:rsidR="00734B0B" w:rsidRPr="00734B0B" w:rsidRDefault="00734B0B" w:rsidP="00734B0B">
      <w:pPr>
        <w:rPr>
          <w:rFonts w:cs="Times New Roman"/>
          <w:color w:val="000000" w:themeColor="text1"/>
          <w:spacing w:val="3"/>
          <w:szCs w:val="24"/>
        </w:rPr>
      </w:pPr>
      <w:r w:rsidRPr="00033A65">
        <w:rPr>
          <w:rFonts w:cs="Times New Roman"/>
          <w:color w:val="000000" w:themeColor="text1"/>
          <w:spacing w:val="3"/>
          <w:szCs w:val="24"/>
        </w:rPr>
        <w:lastRenderedPageBreak/>
        <w:tab/>
        <w:t xml:space="preserve">Furthermore, while existing literature </w:t>
      </w:r>
      <w:r w:rsidR="00CA34CB" w:rsidRPr="00033A65">
        <w:rPr>
          <w:rFonts w:cs="Times New Roman"/>
          <w:color w:val="000000" w:themeColor="text1"/>
          <w:spacing w:val="3"/>
          <w:szCs w:val="24"/>
        </w:rPr>
        <w:t>document</w:t>
      </w:r>
      <w:r w:rsidR="00D7512F" w:rsidRPr="00033A65">
        <w:rPr>
          <w:rFonts w:cs="Times New Roman"/>
          <w:color w:val="000000" w:themeColor="text1"/>
          <w:spacing w:val="3"/>
          <w:szCs w:val="24"/>
        </w:rPr>
        <w:t>ed</w:t>
      </w:r>
      <w:r w:rsidRPr="00033A65">
        <w:rPr>
          <w:rFonts w:cs="Times New Roman"/>
          <w:color w:val="000000" w:themeColor="text1"/>
          <w:spacing w:val="3"/>
          <w:szCs w:val="24"/>
        </w:rPr>
        <w:t xml:space="preserve"> positive correlations between dual </w:t>
      </w:r>
      <w:r w:rsidRPr="005B5D35">
        <w:rPr>
          <w:rFonts w:cs="Times New Roman"/>
          <w:color w:val="000000" w:themeColor="text1"/>
          <w:spacing w:val="3"/>
          <w:szCs w:val="24"/>
        </w:rPr>
        <w:t>enrollment participation and postsecondary success, there is a need for more localized studies to understand how these programs function within specific</w:t>
      </w:r>
      <w:r w:rsidR="00204BF3" w:rsidRPr="005B5D35">
        <w:rPr>
          <w:rFonts w:cs="Times New Roman"/>
          <w:color w:val="000000" w:themeColor="text1"/>
          <w:spacing w:val="3"/>
          <w:szCs w:val="24"/>
        </w:rPr>
        <w:t xml:space="preserve"> institution</w:t>
      </w:r>
      <w:r w:rsidRPr="005B5D35">
        <w:rPr>
          <w:rFonts w:cs="Times New Roman"/>
          <w:color w:val="000000" w:themeColor="text1"/>
          <w:spacing w:val="3"/>
          <w:szCs w:val="24"/>
        </w:rPr>
        <w:t>s (Karp et al., 2007). This study addresse</w:t>
      </w:r>
      <w:r w:rsidR="007716DF" w:rsidRPr="005B5D35">
        <w:rPr>
          <w:rFonts w:cs="Times New Roman"/>
          <w:color w:val="000000" w:themeColor="text1"/>
          <w:spacing w:val="3"/>
          <w:szCs w:val="24"/>
        </w:rPr>
        <w:t>d</w:t>
      </w:r>
      <w:r w:rsidRPr="005B5D35">
        <w:rPr>
          <w:rFonts w:cs="Times New Roman"/>
          <w:color w:val="000000" w:themeColor="text1"/>
          <w:spacing w:val="3"/>
          <w:szCs w:val="24"/>
        </w:rPr>
        <w:t xml:space="preserve"> this gap </w:t>
      </w:r>
      <w:r w:rsidR="007716DF" w:rsidRPr="005B5D35">
        <w:rPr>
          <w:rFonts w:cs="Times New Roman"/>
          <w:color w:val="000000" w:themeColor="text1"/>
          <w:spacing w:val="3"/>
          <w:szCs w:val="24"/>
        </w:rPr>
        <w:t>as I</w:t>
      </w:r>
      <w:r w:rsidRPr="005B5D35">
        <w:rPr>
          <w:rFonts w:cs="Times New Roman"/>
          <w:color w:val="000000" w:themeColor="text1"/>
          <w:spacing w:val="3"/>
          <w:szCs w:val="24"/>
        </w:rPr>
        <w:t xml:space="preserve"> focus</w:t>
      </w:r>
      <w:r w:rsidR="007716DF" w:rsidRPr="005B5D35">
        <w:rPr>
          <w:rFonts w:cs="Times New Roman"/>
          <w:color w:val="000000" w:themeColor="text1"/>
          <w:spacing w:val="3"/>
          <w:szCs w:val="24"/>
        </w:rPr>
        <w:t>ed</w:t>
      </w:r>
      <w:r w:rsidRPr="005B5D35">
        <w:rPr>
          <w:rFonts w:cs="Times New Roman"/>
          <w:color w:val="000000" w:themeColor="text1"/>
          <w:spacing w:val="3"/>
          <w:szCs w:val="24"/>
        </w:rPr>
        <w:t xml:space="preserve"> on a particular community college, </w:t>
      </w:r>
      <w:r w:rsidR="005B5D35" w:rsidRPr="005B5D35">
        <w:rPr>
          <w:rFonts w:cs="Times New Roman"/>
        </w:rPr>
        <w:t>comprised of</w:t>
      </w:r>
      <w:r w:rsidR="005B5D35" w:rsidRPr="005B5D35">
        <w:rPr>
          <w:rFonts w:cs="Times New Roman"/>
        </w:rPr>
        <w:t xml:space="preserve"> academically similar students</w:t>
      </w:r>
      <w:r w:rsidR="005B5D35" w:rsidRPr="005B5D35">
        <w:rPr>
          <w:rFonts w:cs="Times New Roman"/>
        </w:rPr>
        <w:t xml:space="preserve">, </w:t>
      </w:r>
      <w:r w:rsidR="007716DF" w:rsidRPr="005B5D35">
        <w:rPr>
          <w:rFonts w:cs="Times New Roman"/>
          <w:color w:val="000000" w:themeColor="text1"/>
          <w:spacing w:val="3"/>
          <w:szCs w:val="24"/>
        </w:rPr>
        <w:t xml:space="preserve">which </w:t>
      </w:r>
      <w:r w:rsidRPr="005B5D35">
        <w:rPr>
          <w:rFonts w:cs="Times New Roman"/>
          <w:color w:val="000000" w:themeColor="text1"/>
          <w:spacing w:val="3"/>
          <w:szCs w:val="24"/>
        </w:rPr>
        <w:t xml:space="preserve">thereby </w:t>
      </w:r>
      <w:bookmarkStart w:id="22" w:name="_Hlk210667939"/>
      <w:r w:rsidRPr="005B5D35">
        <w:rPr>
          <w:rFonts w:cs="Times New Roman"/>
          <w:color w:val="000000" w:themeColor="text1"/>
          <w:spacing w:val="3"/>
          <w:szCs w:val="24"/>
        </w:rPr>
        <w:t>offer</w:t>
      </w:r>
      <w:r w:rsidR="007716DF" w:rsidRPr="005B5D35">
        <w:rPr>
          <w:rFonts w:cs="Times New Roman"/>
          <w:color w:val="000000" w:themeColor="text1"/>
          <w:spacing w:val="3"/>
          <w:szCs w:val="24"/>
        </w:rPr>
        <w:t>ed</w:t>
      </w:r>
      <w:r w:rsidRPr="005B5D35">
        <w:rPr>
          <w:rFonts w:cs="Times New Roman"/>
          <w:color w:val="000000" w:themeColor="text1"/>
          <w:spacing w:val="3"/>
          <w:szCs w:val="24"/>
        </w:rPr>
        <w:t xml:space="preserve"> nuanced data that can inform the development and refinement of dual enrollment initiatives tailored to the needs of similar institutions</w:t>
      </w:r>
      <w:bookmarkEnd w:id="22"/>
      <w:r w:rsidRPr="005B5D35">
        <w:rPr>
          <w:rFonts w:cs="Times New Roman"/>
          <w:color w:val="000000" w:themeColor="text1"/>
          <w:spacing w:val="3"/>
          <w:szCs w:val="24"/>
        </w:rPr>
        <w:t>.</w:t>
      </w:r>
    </w:p>
    <w:p w14:paraId="716C25B7" w14:textId="48F54D44" w:rsidR="00734B0B" w:rsidRPr="00734B0B" w:rsidRDefault="00734B0B" w:rsidP="00734B0B">
      <w:pPr>
        <w:rPr>
          <w:rFonts w:cs="Times New Roman"/>
          <w:color w:val="000000" w:themeColor="text1"/>
          <w:spacing w:val="3"/>
          <w:szCs w:val="24"/>
        </w:rPr>
      </w:pPr>
      <w:r w:rsidRPr="00734B0B">
        <w:rPr>
          <w:rFonts w:cs="Times New Roman"/>
          <w:color w:val="000000" w:themeColor="text1"/>
          <w:spacing w:val="3"/>
          <w:szCs w:val="24"/>
        </w:rPr>
        <w:tab/>
      </w:r>
      <w:r w:rsidR="005D2C4A">
        <w:rPr>
          <w:rFonts w:cs="Times New Roman"/>
          <w:color w:val="000000" w:themeColor="text1"/>
          <w:spacing w:val="3"/>
          <w:szCs w:val="24"/>
        </w:rPr>
        <w:t>As</w:t>
      </w:r>
      <w:r w:rsidRPr="00734B0B">
        <w:rPr>
          <w:rFonts w:cs="Times New Roman"/>
          <w:color w:val="000000" w:themeColor="text1"/>
          <w:spacing w:val="3"/>
          <w:szCs w:val="24"/>
        </w:rPr>
        <w:t xml:space="preserve"> dual enrollment continues to grow as a strategy for promoting college readiness and completion, understanding its effectiveness becomes </w:t>
      </w:r>
      <w:r w:rsidRPr="00B85095">
        <w:rPr>
          <w:rFonts w:cs="Times New Roman"/>
          <w:color w:val="000000" w:themeColor="text1"/>
          <w:spacing w:val="3"/>
          <w:szCs w:val="24"/>
        </w:rPr>
        <w:t>increasingly critical</w:t>
      </w:r>
      <w:r w:rsidR="005D2C4A" w:rsidRPr="00B85095">
        <w:rPr>
          <w:rFonts w:cs="Times New Roman"/>
          <w:color w:val="000000" w:themeColor="text1"/>
          <w:spacing w:val="3"/>
          <w:szCs w:val="24"/>
        </w:rPr>
        <w:t xml:space="preserve"> (</w:t>
      </w:r>
      <w:r w:rsidR="00D44AA6" w:rsidRPr="00B85095">
        <w:rPr>
          <w:rFonts w:cs="Times New Roman"/>
          <w:color w:val="000000" w:themeColor="text1"/>
          <w:spacing w:val="3"/>
          <w:szCs w:val="24"/>
        </w:rPr>
        <w:t>Cram &amp; B</w:t>
      </w:r>
      <w:r w:rsidR="00A3756F" w:rsidRPr="00B85095">
        <w:rPr>
          <w:szCs w:val="24"/>
          <w:shd w:val="clear" w:color="auto" w:fill="FFFFFF"/>
        </w:rPr>
        <w:t>é</w:t>
      </w:r>
      <w:r w:rsidR="00D44AA6" w:rsidRPr="00B85095">
        <w:rPr>
          <w:rFonts w:cs="Times New Roman"/>
          <w:color w:val="000000" w:themeColor="text1"/>
          <w:spacing w:val="3"/>
          <w:szCs w:val="24"/>
        </w:rPr>
        <w:t>jar</w:t>
      </w:r>
      <w:r w:rsidR="00D515E7">
        <w:rPr>
          <w:rFonts w:cs="Times New Roman"/>
          <w:color w:val="000000" w:themeColor="text1"/>
          <w:spacing w:val="3"/>
          <w:szCs w:val="24"/>
        </w:rPr>
        <w:t>, 2019</w:t>
      </w:r>
      <w:r w:rsidR="00A3756F" w:rsidRPr="00B85095">
        <w:rPr>
          <w:rFonts w:cs="Times New Roman"/>
          <w:color w:val="000000" w:themeColor="text1"/>
          <w:spacing w:val="3"/>
          <w:szCs w:val="24"/>
        </w:rPr>
        <w:t xml:space="preserve">; </w:t>
      </w:r>
      <w:r w:rsidR="007A5BB1" w:rsidRPr="00B85095">
        <w:rPr>
          <w:rFonts w:cs="Times New Roman"/>
          <w:color w:val="000000" w:themeColor="text1"/>
          <w:spacing w:val="3"/>
          <w:szCs w:val="24"/>
        </w:rPr>
        <w:t>Schaller et al., 2025</w:t>
      </w:r>
      <w:r w:rsidR="007A5BB1">
        <w:rPr>
          <w:rFonts w:cs="Times New Roman"/>
          <w:color w:val="000000" w:themeColor="text1"/>
          <w:spacing w:val="3"/>
          <w:szCs w:val="24"/>
        </w:rPr>
        <w:t xml:space="preserve">; </w:t>
      </w:r>
      <w:r w:rsidR="00D35201" w:rsidRPr="00B85095">
        <w:rPr>
          <w:rFonts w:cs="Times New Roman"/>
          <w:color w:val="000000" w:themeColor="text1"/>
          <w:spacing w:val="3"/>
          <w:szCs w:val="24"/>
        </w:rPr>
        <w:t>Struhl &amp; Vargas, 2012</w:t>
      </w:r>
      <w:r w:rsidR="005D2C4A" w:rsidRPr="00B85095">
        <w:rPr>
          <w:rFonts w:cs="Times New Roman"/>
          <w:color w:val="000000" w:themeColor="text1"/>
          <w:spacing w:val="3"/>
          <w:szCs w:val="24"/>
        </w:rPr>
        <w:t>)</w:t>
      </w:r>
      <w:r w:rsidRPr="00B85095">
        <w:rPr>
          <w:rFonts w:cs="Times New Roman"/>
          <w:color w:val="000000" w:themeColor="text1"/>
          <w:spacing w:val="3"/>
          <w:szCs w:val="24"/>
        </w:rPr>
        <w:t>.</w:t>
      </w:r>
      <w:r w:rsidRPr="00734B0B">
        <w:rPr>
          <w:rFonts w:cs="Times New Roman"/>
          <w:color w:val="000000" w:themeColor="text1"/>
          <w:spacing w:val="3"/>
          <w:szCs w:val="24"/>
        </w:rPr>
        <w:t xml:space="preserve"> This research</w:t>
      </w:r>
      <w:r w:rsidR="00F15185">
        <w:rPr>
          <w:rFonts w:cs="Times New Roman"/>
          <w:color w:val="000000" w:themeColor="text1"/>
          <w:spacing w:val="3"/>
          <w:szCs w:val="24"/>
        </w:rPr>
        <w:t xml:space="preserve"> may</w:t>
      </w:r>
      <w:r w:rsidRPr="00734B0B">
        <w:rPr>
          <w:rFonts w:cs="Times New Roman"/>
          <w:color w:val="000000" w:themeColor="text1"/>
          <w:spacing w:val="3"/>
          <w:szCs w:val="24"/>
        </w:rPr>
        <w:t xml:space="preserve"> contribute to the broader discourse on educational strategies that facilitate timely degree attainment, which is essential </w:t>
      </w:r>
      <w:r w:rsidR="00D515E7">
        <w:rPr>
          <w:rFonts w:cs="Times New Roman"/>
          <w:color w:val="000000" w:themeColor="text1"/>
          <w:spacing w:val="3"/>
          <w:szCs w:val="24"/>
        </w:rPr>
        <w:t>to</w:t>
      </w:r>
      <w:r w:rsidRPr="00734B0B">
        <w:rPr>
          <w:rFonts w:cs="Times New Roman"/>
          <w:color w:val="000000" w:themeColor="text1"/>
          <w:spacing w:val="3"/>
          <w:szCs w:val="24"/>
        </w:rPr>
        <w:t xml:space="preserve"> meet workforce demands and suppor</w:t>
      </w:r>
      <w:r w:rsidR="00D515E7">
        <w:rPr>
          <w:rFonts w:cs="Times New Roman"/>
          <w:color w:val="000000" w:themeColor="text1"/>
          <w:spacing w:val="3"/>
          <w:szCs w:val="24"/>
        </w:rPr>
        <w:t>t</w:t>
      </w:r>
      <w:r w:rsidRPr="00734B0B">
        <w:rPr>
          <w:rFonts w:cs="Times New Roman"/>
          <w:color w:val="000000" w:themeColor="text1"/>
          <w:spacing w:val="3"/>
          <w:szCs w:val="24"/>
        </w:rPr>
        <w:t xml:space="preserve"> economic development (Bailey et al., 2002).</w:t>
      </w:r>
    </w:p>
    <w:p w14:paraId="48F46229" w14:textId="2BE1DA41" w:rsidR="00AB012C" w:rsidRDefault="00734B0B" w:rsidP="00734B0B">
      <w:pPr>
        <w:rPr>
          <w:rFonts w:cs="Times New Roman"/>
          <w:color w:val="000000" w:themeColor="text1"/>
          <w:spacing w:val="3"/>
          <w:szCs w:val="24"/>
        </w:rPr>
      </w:pPr>
      <w:r w:rsidRPr="00734B0B">
        <w:rPr>
          <w:rFonts w:cs="Times New Roman"/>
          <w:color w:val="000000" w:themeColor="text1"/>
          <w:spacing w:val="3"/>
          <w:szCs w:val="24"/>
        </w:rPr>
        <w:tab/>
        <w:t>This study is significant because it evaluate</w:t>
      </w:r>
      <w:r w:rsidR="00EB1EA3">
        <w:rPr>
          <w:rFonts w:cs="Times New Roman"/>
          <w:color w:val="000000" w:themeColor="text1"/>
          <w:spacing w:val="3"/>
          <w:szCs w:val="24"/>
        </w:rPr>
        <w:t>d</w:t>
      </w:r>
      <w:r w:rsidRPr="00734B0B">
        <w:rPr>
          <w:rFonts w:cs="Times New Roman"/>
          <w:color w:val="000000" w:themeColor="text1"/>
          <w:spacing w:val="3"/>
          <w:szCs w:val="24"/>
        </w:rPr>
        <w:t xml:space="preserve"> the impact of dual enrollment on student completion rates within a specific community college</w:t>
      </w:r>
      <w:r w:rsidR="00F15185">
        <w:rPr>
          <w:rFonts w:cs="Times New Roman"/>
          <w:color w:val="000000" w:themeColor="text1"/>
          <w:spacing w:val="3"/>
          <w:szCs w:val="24"/>
        </w:rPr>
        <w:t>. It has the potential to</w:t>
      </w:r>
      <w:r w:rsidR="00EB1EA3">
        <w:rPr>
          <w:rFonts w:cs="Times New Roman"/>
          <w:color w:val="000000" w:themeColor="text1"/>
          <w:spacing w:val="3"/>
          <w:szCs w:val="24"/>
        </w:rPr>
        <w:t xml:space="preserve"> </w:t>
      </w:r>
      <w:r w:rsidRPr="00734B0B">
        <w:rPr>
          <w:rFonts w:cs="Times New Roman"/>
          <w:color w:val="000000" w:themeColor="text1"/>
          <w:spacing w:val="3"/>
          <w:szCs w:val="24"/>
        </w:rPr>
        <w:t>provid</w:t>
      </w:r>
      <w:r w:rsidR="00EB1EA3">
        <w:rPr>
          <w:rFonts w:cs="Times New Roman"/>
          <w:color w:val="000000" w:themeColor="text1"/>
          <w:spacing w:val="3"/>
          <w:szCs w:val="24"/>
        </w:rPr>
        <w:t>e</w:t>
      </w:r>
      <w:r w:rsidRPr="00734B0B">
        <w:rPr>
          <w:rFonts w:cs="Times New Roman"/>
          <w:color w:val="000000" w:themeColor="text1"/>
          <w:spacing w:val="3"/>
          <w:szCs w:val="24"/>
        </w:rPr>
        <w:t xml:space="preserve"> insights that can guide policy decisions and program implementations aimed at enhancing student outcomes.</w:t>
      </w:r>
    </w:p>
    <w:p w14:paraId="632E3B72" w14:textId="095248D4" w:rsidR="00703089" w:rsidRPr="00703089" w:rsidRDefault="00BA451B" w:rsidP="00C534AC">
      <w:pPr>
        <w:pStyle w:val="Heading3"/>
      </w:pPr>
      <w:bookmarkStart w:id="23" w:name="_Hlk208762967"/>
      <w:bookmarkStart w:id="24" w:name="_Toc224458885"/>
      <w:r w:rsidRPr="00FA1294">
        <w:t>Research Questions</w:t>
      </w:r>
      <w:bookmarkEnd w:id="23"/>
      <w:bookmarkEnd w:id="24"/>
    </w:p>
    <w:p w14:paraId="7FAB6884" w14:textId="0B41AE70" w:rsidR="00703089" w:rsidRPr="00A866B8" w:rsidRDefault="00703089" w:rsidP="00703089">
      <w:pPr>
        <w:ind w:firstLine="720"/>
        <w:rPr>
          <w:rFonts w:cs="Times New Roman"/>
          <w:color w:val="000000" w:themeColor="text1"/>
          <w:spacing w:val="3"/>
          <w:szCs w:val="24"/>
        </w:rPr>
      </w:pPr>
      <w:r w:rsidRPr="00A866B8">
        <w:rPr>
          <w:rFonts w:cs="Times New Roman"/>
          <w:color w:val="000000" w:themeColor="text1"/>
          <w:szCs w:val="24"/>
        </w:rPr>
        <w:t xml:space="preserve">Research questions for this </w:t>
      </w:r>
      <w:r w:rsidRPr="00A866B8">
        <w:rPr>
          <w:rFonts w:cs="Times New Roman"/>
          <w:color w:val="000000" w:themeColor="text1"/>
          <w:spacing w:val="3"/>
          <w:szCs w:val="24"/>
        </w:rPr>
        <w:t>non-experimental</w:t>
      </w:r>
      <w:r>
        <w:rPr>
          <w:rFonts w:cs="Times New Roman"/>
          <w:color w:val="000000" w:themeColor="text1"/>
          <w:spacing w:val="3"/>
          <w:szCs w:val="24"/>
        </w:rPr>
        <w:t>,</w:t>
      </w:r>
      <w:r w:rsidRPr="00A866B8">
        <w:rPr>
          <w:rFonts w:cs="Times New Roman"/>
          <w:color w:val="000000" w:themeColor="text1"/>
          <w:spacing w:val="3"/>
          <w:szCs w:val="24"/>
        </w:rPr>
        <w:t xml:space="preserve"> quantitative study will be used to investigate the relationship </w:t>
      </w:r>
      <w:r>
        <w:rPr>
          <w:rFonts w:cs="Times New Roman"/>
          <w:color w:val="000000" w:themeColor="text1"/>
          <w:spacing w:val="3"/>
          <w:szCs w:val="24"/>
        </w:rPr>
        <w:t>between</w:t>
      </w:r>
      <w:r w:rsidRPr="00A866B8">
        <w:rPr>
          <w:rFonts w:cs="Times New Roman"/>
          <w:color w:val="000000" w:themeColor="text1"/>
          <w:spacing w:val="3"/>
          <w:szCs w:val="24"/>
        </w:rPr>
        <w:t xml:space="preserve"> dual enrollment students</w:t>
      </w:r>
      <w:r>
        <w:rPr>
          <w:rFonts w:cs="Times New Roman"/>
          <w:color w:val="000000" w:themeColor="text1"/>
          <w:spacing w:val="3"/>
          <w:szCs w:val="24"/>
        </w:rPr>
        <w:t xml:space="preserve"> and graduation</w:t>
      </w:r>
      <w:r w:rsidRPr="00A866B8">
        <w:rPr>
          <w:rFonts w:cs="Times New Roman"/>
          <w:color w:val="000000" w:themeColor="text1"/>
          <w:spacing w:val="3"/>
          <w:szCs w:val="24"/>
        </w:rPr>
        <w:t xml:space="preserve"> rates at a </w:t>
      </w:r>
      <w:r>
        <w:rPr>
          <w:rFonts w:cs="Times New Roman"/>
          <w:color w:val="000000" w:themeColor="text1"/>
          <w:spacing w:val="3"/>
          <w:szCs w:val="24"/>
        </w:rPr>
        <w:t>Tenn</w:t>
      </w:r>
      <w:r w:rsidRPr="00127357">
        <w:rPr>
          <w:rFonts w:cs="Times New Roman"/>
          <w:color w:val="000000" w:themeColor="text1"/>
          <w:spacing w:val="3"/>
          <w:szCs w:val="24"/>
        </w:rPr>
        <w:t>essee community college</w:t>
      </w:r>
      <w:bookmarkStart w:id="25" w:name="_Hlk209690499"/>
      <w:r w:rsidRPr="00127357">
        <w:rPr>
          <w:rFonts w:cs="Times New Roman"/>
          <w:color w:val="000000" w:themeColor="text1"/>
          <w:spacing w:val="3"/>
          <w:szCs w:val="24"/>
        </w:rPr>
        <w:t>. I focused on completion rates, grade point average (GPA), enrollment status (part-time or full-time</w:t>
      </w:r>
      <w:r>
        <w:rPr>
          <w:rFonts w:cs="Times New Roman"/>
          <w:color w:val="000000" w:themeColor="text1"/>
          <w:spacing w:val="3"/>
          <w:szCs w:val="24"/>
        </w:rPr>
        <w:t>)</w:t>
      </w:r>
      <w:r w:rsidRPr="00127357">
        <w:rPr>
          <w:rFonts w:cs="Times New Roman"/>
          <w:color w:val="000000" w:themeColor="text1"/>
          <w:spacing w:val="3"/>
          <w:szCs w:val="24"/>
        </w:rPr>
        <w:t>, retention rate (</w:t>
      </w:r>
      <w:r w:rsidR="00487D67">
        <w:rPr>
          <w:rFonts w:cs="Times New Roman"/>
          <w:color w:val="000000" w:themeColor="text1"/>
          <w:spacing w:val="3"/>
          <w:szCs w:val="24"/>
        </w:rPr>
        <w:t>f</w:t>
      </w:r>
      <w:r w:rsidRPr="00127357">
        <w:rPr>
          <w:rFonts w:cs="Times New Roman"/>
          <w:color w:val="000000" w:themeColor="text1"/>
          <w:spacing w:val="3"/>
          <w:szCs w:val="24"/>
        </w:rPr>
        <w:t xml:space="preserve">all to </w:t>
      </w:r>
      <w:r w:rsidR="00487D67">
        <w:rPr>
          <w:rFonts w:cs="Times New Roman"/>
          <w:color w:val="000000" w:themeColor="text1"/>
          <w:spacing w:val="3"/>
          <w:szCs w:val="24"/>
        </w:rPr>
        <w:t>s</w:t>
      </w:r>
      <w:r w:rsidRPr="00127357">
        <w:rPr>
          <w:rFonts w:cs="Times New Roman"/>
          <w:color w:val="000000" w:themeColor="text1"/>
          <w:spacing w:val="3"/>
          <w:szCs w:val="24"/>
        </w:rPr>
        <w:t>pring), retention rate (</w:t>
      </w:r>
      <w:r w:rsidR="00487D67">
        <w:rPr>
          <w:rFonts w:cs="Times New Roman"/>
          <w:color w:val="000000" w:themeColor="text1"/>
          <w:spacing w:val="3"/>
          <w:szCs w:val="24"/>
        </w:rPr>
        <w:t>f</w:t>
      </w:r>
      <w:r w:rsidRPr="00127357">
        <w:rPr>
          <w:rFonts w:cs="Times New Roman"/>
          <w:color w:val="000000" w:themeColor="text1"/>
          <w:spacing w:val="3"/>
          <w:szCs w:val="24"/>
        </w:rPr>
        <w:t xml:space="preserve">all to </w:t>
      </w:r>
      <w:r w:rsidR="00487D67">
        <w:rPr>
          <w:rFonts w:cs="Times New Roman"/>
          <w:color w:val="000000" w:themeColor="text1"/>
          <w:spacing w:val="3"/>
          <w:szCs w:val="24"/>
        </w:rPr>
        <w:t>f</w:t>
      </w:r>
      <w:r w:rsidRPr="00127357">
        <w:rPr>
          <w:rFonts w:cs="Times New Roman"/>
          <w:color w:val="000000" w:themeColor="text1"/>
          <w:spacing w:val="3"/>
          <w:szCs w:val="24"/>
        </w:rPr>
        <w:t>all), academic credits (30 or more semester credits)</w:t>
      </w:r>
      <w:r>
        <w:rPr>
          <w:rFonts w:cs="Times New Roman"/>
          <w:color w:val="000000" w:themeColor="text1"/>
          <w:spacing w:val="3"/>
          <w:szCs w:val="24"/>
        </w:rPr>
        <w:t>,</w:t>
      </w:r>
      <w:r w:rsidRPr="00127357">
        <w:rPr>
          <w:rFonts w:cs="Times New Roman"/>
          <w:color w:val="000000" w:themeColor="text1"/>
          <w:spacing w:val="3"/>
          <w:szCs w:val="24"/>
        </w:rPr>
        <w:t xml:space="preserve"> and academic credits (number earned at the end of their freshman year).</w:t>
      </w:r>
      <w:bookmarkEnd w:id="25"/>
      <w:r w:rsidRPr="00A866B8">
        <w:rPr>
          <w:rFonts w:cs="Times New Roman"/>
          <w:color w:val="000000" w:themeColor="text1"/>
          <w:spacing w:val="3"/>
          <w:szCs w:val="24"/>
        </w:rPr>
        <w:t xml:space="preserve"> </w:t>
      </w:r>
      <w:r>
        <w:rPr>
          <w:rFonts w:cs="Times New Roman"/>
          <w:color w:val="000000" w:themeColor="text1"/>
          <w:spacing w:val="3"/>
          <w:szCs w:val="24"/>
        </w:rPr>
        <w:t>The research questions are:</w:t>
      </w:r>
    </w:p>
    <w:p w14:paraId="465DD377" w14:textId="0CEAE0EE" w:rsidR="00E2131C" w:rsidRPr="000C35E9" w:rsidRDefault="00E2131C" w:rsidP="00E2131C">
      <w:pPr>
        <w:ind w:firstLine="720"/>
        <w:rPr>
          <w:rFonts w:cs="Times New Roman"/>
        </w:rPr>
      </w:pPr>
      <w:r w:rsidRPr="000C35E9">
        <w:rPr>
          <w:rFonts w:cs="Times New Roman"/>
          <w:color w:val="000000" w:themeColor="text1"/>
          <w:szCs w:val="24"/>
        </w:rPr>
        <w:lastRenderedPageBreak/>
        <w:t xml:space="preserve">Research Question 1: </w:t>
      </w:r>
      <w:r w:rsidRPr="000C35E9">
        <w:rPr>
          <w:rFonts w:cs="Times New Roman"/>
        </w:rPr>
        <w:t>For first-time, full-time, community college students, is there a significant relationship between graduating within 3 years (150%) and completing at least one dual enrollment course in high school?</w:t>
      </w:r>
    </w:p>
    <w:p w14:paraId="4924F414" w14:textId="18AF74B5" w:rsidR="00703089" w:rsidRPr="000C35E9" w:rsidRDefault="00703089" w:rsidP="00703089">
      <w:pPr>
        <w:ind w:firstLine="720"/>
        <w:rPr>
          <w:rFonts w:cs="Times New Roman"/>
          <w:color w:val="000000" w:themeColor="text1"/>
          <w:szCs w:val="24"/>
        </w:rPr>
      </w:pPr>
      <w:r w:rsidRPr="000C35E9">
        <w:rPr>
          <w:rFonts w:cs="Times New Roman"/>
          <w:color w:val="000000" w:themeColor="text1"/>
          <w:szCs w:val="24"/>
        </w:rPr>
        <w:t xml:space="preserve">Research Question 2: </w:t>
      </w:r>
      <w:r w:rsidRPr="000C35E9">
        <w:rPr>
          <w:rFonts w:cs="Times New Roman"/>
        </w:rPr>
        <w:t>Is there a significant difference in the college GPA at the end of year one between first-time, full-time, community college students who completed at least one dual enrollment course in high school and those students who did not participate in dual enrollment?</w:t>
      </w:r>
    </w:p>
    <w:p w14:paraId="0BF10954" w14:textId="5B1AA01F" w:rsidR="00703089" w:rsidRPr="000C35E9" w:rsidRDefault="00703089" w:rsidP="00703089">
      <w:pPr>
        <w:ind w:firstLine="720"/>
        <w:rPr>
          <w:rFonts w:cs="Times New Roman"/>
          <w:color w:val="000000" w:themeColor="text1"/>
          <w:szCs w:val="24"/>
        </w:rPr>
      </w:pPr>
      <w:r w:rsidRPr="000C35E9">
        <w:rPr>
          <w:rFonts w:cs="Times New Roman"/>
          <w:color w:val="000000" w:themeColor="text1"/>
          <w:szCs w:val="24"/>
        </w:rPr>
        <w:t>Research Question 3: Is there a significant difference in the enrollment status (part-time or full-time) between students that participated in dual enrollment while in high school and those students that did not participate in dual enrollment?</w:t>
      </w:r>
    </w:p>
    <w:p w14:paraId="38FF9C7B" w14:textId="6D74805D" w:rsidR="00703089" w:rsidRPr="000C35E9" w:rsidRDefault="00703089" w:rsidP="00703089">
      <w:pPr>
        <w:ind w:firstLine="720"/>
        <w:rPr>
          <w:rFonts w:cs="Times New Roman"/>
          <w:color w:val="000000" w:themeColor="text1"/>
          <w:szCs w:val="24"/>
        </w:rPr>
      </w:pPr>
      <w:r w:rsidRPr="000C35E9">
        <w:rPr>
          <w:rFonts w:cs="Times New Roman"/>
          <w:color w:val="000000" w:themeColor="text1"/>
          <w:szCs w:val="24"/>
        </w:rPr>
        <w:t xml:space="preserve">Research Question 4: </w:t>
      </w:r>
      <w:r w:rsidRPr="000C35E9">
        <w:rPr>
          <w:rFonts w:cs="Times New Roman"/>
        </w:rPr>
        <w:t>Is there a significant difference in retention rate (</w:t>
      </w:r>
      <w:r w:rsidR="00B354FB" w:rsidRPr="000C35E9">
        <w:rPr>
          <w:rFonts w:cs="Times New Roman"/>
        </w:rPr>
        <w:t>f</w:t>
      </w:r>
      <w:r w:rsidRPr="000C35E9">
        <w:rPr>
          <w:rFonts w:cs="Times New Roman"/>
        </w:rPr>
        <w:t xml:space="preserve">all to </w:t>
      </w:r>
      <w:r w:rsidR="00B354FB" w:rsidRPr="000C35E9">
        <w:rPr>
          <w:rFonts w:cs="Times New Roman"/>
        </w:rPr>
        <w:t>s</w:t>
      </w:r>
      <w:r w:rsidRPr="000C35E9">
        <w:rPr>
          <w:rFonts w:cs="Times New Roman"/>
        </w:rPr>
        <w:t>pring) between students who took dual enrollment while in high school and those students that did not participate in dual enrollment?</w:t>
      </w:r>
    </w:p>
    <w:p w14:paraId="7211CC9F" w14:textId="50909750" w:rsidR="00703089" w:rsidRPr="000C35E9" w:rsidRDefault="00703089" w:rsidP="00703089">
      <w:pPr>
        <w:ind w:firstLine="720"/>
        <w:rPr>
          <w:rFonts w:cs="Times New Roman"/>
          <w:color w:val="000000" w:themeColor="text1"/>
          <w:szCs w:val="24"/>
        </w:rPr>
      </w:pPr>
      <w:r w:rsidRPr="000C35E9">
        <w:rPr>
          <w:rFonts w:cs="Times New Roman"/>
          <w:color w:val="000000" w:themeColor="text1"/>
          <w:szCs w:val="24"/>
        </w:rPr>
        <w:t xml:space="preserve">Research Question 5: </w:t>
      </w:r>
      <w:r w:rsidRPr="000C35E9">
        <w:rPr>
          <w:rFonts w:cs="Times New Roman"/>
        </w:rPr>
        <w:t>Is there a significant difference in retention rate (</w:t>
      </w:r>
      <w:r w:rsidR="00B354FB" w:rsidRPr="000C35E9">
        <w:rPr>
          <w:rFonts w:cs="Times New Roman"/>
        </w:rPr>
        <w:t>f</w:t>
      </w:r>
      <w:r w:rsidRPr="000C35E9">
        <w:rPr>
          <w:rFonts w:cs="Times New Roman"/>
        </w:rPr>
        <w:t xml:space="preserve">all to </w:t>
      </w:r>
      <w:r w:rsidR="00B354FB" w:rsidRPr="000C35E9">
        <w:rPr>
          <w:rFonts w:cs="Times New Roman"/>
        </w:rPr>
        <w:t>f</w:t>
      </w:r>
      <w:r w:rsidRPr="000C35E9">
        <w:rPr>
          <w:rFonts w:cs="Times New Roman"/>
        </w:rPr>
        <w:t>all) between students who took dual enrollment while in high school and those students that did not participate in dual enrollment?</w:t>
      </w:r>
    </w:p>
    <w:p w14:paraId="2D61E672" w14:textId="7BF5A623" w:rsidR="00D66BBB" w:rsidRPr="000C35E9" w:rsidRDefault="00D66BBB" w:rsidP="00D66BBB">
      <w:pPr>
        <w:ind w:firstLine="720"/>
        <w:rPr>
          <w:rFonts w:cs="Times New Roman"/>
          <w:color w:val="000000" w:themeColor="text1"/>
          <w:szCs w:val="24"/>
        </w:rPr>
      </w:pPr>
      <w:r w:rsidRPr="000C35E9">
        <w:rPr>
          <w:rFonts w:cs="Times New Roman"/>
          <w:color w:val="000000" w:themeColor="text1"/>
          <w:szCs w:val="24"/>
        </w:rPr>
        <w:t xml:space="preserve">Research Question 6: </w:t>
      </w:r>
      <w:r w:rsidRPr="000C35E9">
        <w:rPr>
          <w:rFonts w:cs="Times New Roman"/>
        </w:rPr>
        <w:t>Is there a significant relationship between earning 30 or more semester credits during their first year of enrollment between dual enrollment status and non-dual enrollment status?</w:t>
      </w:r>
    </w:p>
    <w:p w14:paraId="1D837ADB" w14:textId="77777777" w:rsidR="00703089" w:rsidRPr="002201EF" w:rsidRDefault="00703089" w:rsidP="00703089">
      <w:pPr>
        <w:ind w:firstLine="720"/>
        <w:rPr>
          <w:rFonts w:cs="Times New Roman"/>
          <w:color w:val="000000" w:themeColor="text1"/>
          <w:szCs w:val="24"/>
        </w:rPr>
      </w:pPr>
      <w:r w:rsidRPr="000C35E9">
        <w:rPr>
          <w:rFonts w:cs="Times New Roman"/>
          <w:color w:val="000000" w:themeColor="text1"/>
          <w:szCs w:val="24"/>
        </w:rPr>
        <w:t xml:space="preserve">Research Question 7: </w:t>
      </w:r>
      <w:r w:rsidRPr="000C35E9">
        <w:rPr>
          <w:rFonts w:cs="Times New Roman"/>
        </w:rPr>
        <w:t>Is there a significant difference in the number of academic credits earned at the end of their freshman year between students that participated in dual enrollment and students that did not participate in dual enrollment while in high school</w:t>
      </w:r>
      <w:r w:rsidRPr="000C35E9">
        <w:rPr>
          <w:rFonts w:cs="Times New Roman"/>
          <w:color w:val="000000" w:themeColor="text1"/>
          <w:szCs w:val="24"/>
        </w:rPr>
        <w:t>?</w:t>
      </w:r>
    </w:p>
    <w:p w14:paraId="2C0C27FA" w14:textId="29461455" w:rsidR="00C343DC" w:rsidRPr="00AE76C9" w:rsidRDefault="00C343DC" w:rsidP="00C534AC">
      <w:pPr>
        <w:pStyle w:val="Heading3"/>
      </w:pPr>
      <w:bookmarkStart w:id="26" w:name="_Toc224458886"/>
      <w:r>
        <w:lastRenderedPageBreak/>
        <w:t>Definition of Terms</w:t>
      </w:r>
      <w:bookmarkEnd w:id="26"/>
    </w:p>
    <w:p w14:paraId="5BF4CDDC" w14:textId="2E6241F2" w:rsidR="004813AE" w:rsidRPr="00D97962" w:rsidRDefault="004813AE" w:rsidP="004813AE">
      <w:pPr>
        <w:ind w:left="720" w:hanging="720"/>
        <w:rPr>
          <w:rFonts w:cs="Times New Roman"/>
          <w:color w:val="000000" w:themeColor="text1"/>
          <w:szCs w:val="24"/>
        </w:rPr>
      </w:pPr>
      <w:r w:rsidRPr="00D97962">
        <w:rPr>
          <w:rFonts w:cs="Times New Roman"/>
          <w:i/>
          <w:color w:val="000000" w:themeColor="text1"/>
          <w:szCs w:val="24"/>
        </w:rPr>
        <w:t>Advanced Placement</w:t>
      </w:r>
      <w:r>
        <w:rPr>
          <w:rFonts w:cs="Times New Roman"/>
          <w:i/>
          <w:color w:val="000000" w:themeColor="text1"/>
          <w:szCs w:val="24"/>
        </w:rPr>
        <w:t xml:space="preserve"> (AP)</w:t>
      </w:r>
      <w:r w:rsidRPr="00D97962">
        <w:rPr>
          <w:rFonts w:cs="Times New Roman"/>
          <w:i/>
          <w:color w:val="000000" w:themeColor="text1"/>
          <w:szCs w:val="24"/>
        </w:rPr>
        <w:t>:</w:t>
      </w:r>
      <w:r>
        <w:rPr>
          <w:rFonts w:cs="Times New Roman"/>
          <w:i/>
          <w:color w:val="000000" w:themeColor="text1"/>
          <w:szCs w:val="24"/>
        </w:rPr>
        <w:t xml:space="preserve"> </w:t>
      </w:r>
      <w:r>
        <w:rPr>
          <w:rFonts w:cs="Times New Roman"/>
          <w:color w:val="000000" w:themeColor="text1"/>
          <w:szCs w:val="24"/>
        </w:rPr>
        <w:t>College-level high school courses offered in multiple subjects</w:t>
      </w:r>
      <w:r w:rsidR="00C8554B">
        <w:rPr>
          <w:rFonts w:cs="Times New Roman"/>
          <w:color w:val="000000" w:themeColor="text1"/>
          <w:szCs w:val="24"/>
        </w:rPr>
        <w:t>,</w:t>
      </w:r>
      <w:r>
        <w:rPr>
          <w:rFonts w:cs="Times New Roman"/>
          <w:color w:val="000000" w:themeColor="text1"/>
          <w:szCs w:val="24"/>
        </w:rPr>
        <w:t xml:space="preserve"> where </w:t>
      </w:r>
      <w:r>
        <w:rPr>
          <w:rFonts w:cs="Times New Roman"/>
          <w:color w:val="000000" w:themeColor="text1"/>
          <w:szCs w:val="24"/>
        </w:rPr>
        <w:br/>
        <w:t>students test nationally recognized exams (TDOE, n.d.-c).</w:t>
      </w:r>
    </w:p>
    <w:p w14:paraId="598A455D" w14:textId="0A88B237" w:rsidR="004813AE" w:rsidRPr="00FA0DC6" w:rsidRDefault="004813AE" w:rsidP="004813AE">
      <w:pPr>
        <w:ind w:left="720" w:hanging="720"/>
        <w:rPr>
          <w:rFonts w:cs="Times New Roman"/>
          <w:color w:val="000000" w:themeColor="text1"/>
          <w:szCs w:val="24"/>
        </w:rPr>
      </w:pPr>
      <w:r w:rsidRPr="00D97962">
        <w:rPr>
          <w:rFonts w:cs="Times New Roman"/>
          <w:i/>
          <w:color w:val="000000" w:themeColor="text1"/>
          <w:szCs w:val="24"/>
        </w:rPr>
        <w:t>Cambridge</w:t>
      </w:r>
      <w:r>
        <w:rPr>
          <w:rFonts w:cs="Times New Roman"/>
          <w:i/>
          <w:color w:val="000000" w:themeColor="text1"/>
          <w:szCs w:val="24"/>
        </w:rPr>
        <w:t xml:space="preserve"> (CIE)</w:t>
      </w:r>
      <w:r w:rsidRPr="00D97962">
        <w:rPr>
          <w:rFonts w:cs="Times New Roman"/>
          <w:i/>
          <w:color w:val="000000" w:themeColor="text1"/>
          <w:szCs w:val="24"/>
        </w:rPr>
        <w:t xml:space="preserve">: </w:t>
      </w:r>
      <w:r>
        <w:rPr>
          <w:rFonts w:cs="Times New Roman"/>
          <w:color w:val="000000" w:themeColor="text1"/>
          <w:szCs w:val="24"/>
        </w:rPr>
        <w:t xml:space="preserve">A high school academic program in which students are required to take </w:t>
      </w:r>
      <w:r>
        <w:rPr>
          <w:rFonts w:cs="Times New Roman"/>
          <w:color w:val="000000" w:themeColor="text1"/>
          <w:szCs w:val="24"/>
        </w:rPr>
        <w:br/>
        <w:t>internationally recognized academic programs and exams for students age</w:t>
      </w:r>
      <w:r w:rsidR="00C8554B">
        <w:rPr>
          <w:rFonts w:cs="Times New Roman"/>
          <w:color w:val="000000" w:themeColor="text1"/>
          <w:szCs w:val="24"/>
        </w:rPr>
        <w:t>s</w:t>
      </w:r>
      <w:r>
        <w:rPr>
          <w:rFonts w:cs="Times New Roman"/>
          <w:color w:val="000000" w:themeColor="text1"/>
          <w:szCs w:val="24"/>
        </w:rPr>
        <w:t xml:space="preserve"> 5 to 19 </w:t>
      </w:r>
      <w:r>
        <w:rPr>
          <w:rFonts w:cs="Times New Roman"/>
          <w:color w:val="000000" w:themeColor="text1"/>
          <w:szCs w:val="24"/>
        </w:rPr>
        <w:br/>
        <w:t>(TDOE, n.d.-a).</w:t>
      </w:r>
    </w:p>
    <w:p w14:paraId="2893F5D3" w14:textId="77777777" w:rsidR="004813AE" w:rsidRPr="00C13A5D" w:rsidRDefault="004813AE" w:rsidP="004813AE">
      <w:pPr>
        <w:ind w:left="720" w:hanging="720"/>
        <w:rPr>
          <w:rFonts w:cs="Times New Roman"/>
          <w:color w:val="000000" w:themeColor="text1"/>
          <w:szCs w:val="24"/>
        </w:rPr>
      </w:pPr>
      <w:r w:rsidRPr="00D97962">
        <w:rPr>
          <w:rFonts w:cs="Times New Roman"/>
          <w:i/>
          <w:color w:val="000000" w:themeColor="text1"/>
          <w:szCs w:val="24"/>
        </w:rPr>
        <w:t>College Level Exam Program</w:t>
      </w:r>
      <w:r>
        <w:rPr>
          <w:rFonts w:cs="Times New Roman"/>
          <w:i/>
          <w:color w:val="000000" w:themeColor="text1"/>
          <w:szCs w:val="24"/>
        </w:rPr>
        <w:t xml:space="preserve"> (CLEP)</w:t>
      </w:r>
      <w:r w:rsidRPr="00D97962">
        <w:rPr>
          <w:rFonts w:cs="Times New Roman"/>
          <w:i/>
          <w:color w:val="000000" w:themeColor="text1"/>
          <w:szCs w:val="24"/>
        </w:rPr>
        <w:t>:</w:t>
      </w:r>
      <w:r>
        <w:rPr>
          <w:rFonts w:cs="Times New Roman"/>
          <w:color w:val="000000" w:themeColor="text1"/>
          <w:szCs w:val="24"/>
        </w:rPr>
        <w:t xml:space="preserve"> A college board program in which students take standardized tests and, if successful, can earn college credits (Advance CTE, 2022).</w:t>
      </w:r>
    </w:p>
    <w:p w14:paraId="0C941221" w14:textId="32CDDE07" w:rsidR="004813AE" w:rsidRPr="00121891" w:rsidRDefault="004813AE" w:rsidP="004813AE">
      <w:pPr>
        <w:ind w:left="720" w:hanging="720"/>
        <w:rPr>
          <w:rFonts w:cs="Times New Roman"/>
          <w:iCs/>
          <w:color w:val="000000" w:themeColor="text1"/>
          <w:szCs w:val="24"/>
        </w:rPr>
      </w:pPr>
      <w:r w:rsidRPr="00451A84">
        <w:rPr>
          <w:rFonts w:cs="Times New Roman"/>
          <w:i/>
          <w:color w:val="000000" w:themeColor="text1"/>
          <w:szCs w:val="24"/>
        </w:rPr>
        <w:t>Completers within 150% of normal time:</w:t>
      </w:r>
      <w:r w:rsidRPr="00451A84">
        <w:rPr>
          <w:rFonts w:cs="Times New Roman"/>
          <w:iCs/>
          <w:color w:val="000000" w:themeColor="text1"/>
          <w:szCs w:val="24"/>
        </w:rPr>
        <w:t xml:space="preserve"> Students who completed their program within 150% of the normal</w:t>
      </w:r>
      <w:r w:rsidR="00594E22" w:rsidRPr="00451A84">
        <w:rPr>
          <w:rFonts w:cs="Times New Roman"/>
          <w:iCs/>
          <w:color w:val="000000" w:themeColor="text1"/>
          <w:szCs w:val="24"/>
        </w:rPr>
        <w:t xml:space="preserve"> (or </w:t>
      </w:r>
      <w:r w:rsidR="00451A84" w:rsidRPr="00451A84">
        <w:rPr>
          <w:rFonts w:cs="Times New Roman"/>
          <w:iCs/>
          <w:color w:val="000000" w:themeColor="text1"/>
          <w:szCs w:val="24"/>
        </w:rPr>
        <w:t>expected</w:t>
      </w:r>
      <w:r w:rsidR="00594E22" w:rsidRPr="00451A84">
        <w:rPr>
          <w:rFonts w:cs="Times New Roman"/>
          <w:iCs/>
          <w:color w:val="000000" w:themeColor="text1"/>
          <w:szCs w:val="24"/>
        </w:rPr>
        <w:t>)</w:t>
      </w:r>
      <w:r w:rsidRPr="00451A84">
        <w:rPr>
          <w:rFonts w:cs="Times New Roman"/>
          <w:iCs/>
          <w:color w:val="000000" w:themeColor="text1"/>
          <w:szCs w:val="24"/>
        </w:rPr>
        <w:t xml:space="preserve"> time for completion (IPEDS, n.d.)</w:t>
      </w:r>
      <w:r w:rsidR="004607FC" w:rsidRPr="00451A84">
        <w:rPr>
          <w:rFonts w:cs="Times New Roman"/>
          <w:iCs/>
          <w:color w:val="000000" w:themeColor="text1"/>
          <w:szCs w:val="24"/>
        </w:rPr>
        <w:t>. For the purpose of this study, 150% of normal time are cohorts that are tracked for three years from their cohort term.</w:t>
      </w:r>
    </w:p>
    <w:p w14:paraId="5A947687" w14:textId="319F96BA" w:rsidR="004813AE" w:rsidRPr="004813AE" w:rsidRDefault="004813AE" w:rsidP="004813AE">
      <w:pPr>
        <w:ind w:left="720" w:hanging="720"/>
        <w:rPr>
          <w:rFonts w:cs="Times New Roman"/>
          <w:color w:val="000000" w:themeColor="text1"/>
          <w:szCs w:val="24"/>
        </w:rPr>
      </w:pPr>
      <w:r w:rsidRPr="00734B0B">
        <w:rPr>
          <w:rFonts w:cs="Times New Roman"/>
          <w:i/>
          <w:color w:val="000000" w:themeColor="text1"/>
          <w:szCs w:val="24"/>
        </w:rPr>
        <w:t xml:space="preserve">Completion Rate: </w:t>
      </w:r>
      <w:r w:rsidRPr="00734B0B">
        <w:rPr>
          <w:rFonts w:cs="Times New Roman"/>
          <w:color w:val="000000" w:themeColor="text1"/>
          <w:szCs w:val="24"/>
        </w:rPr>
        <w:t xml:space="preserve">A percentage of the students enrolled in and persisted </w:t>
      </w:r>
      <w:r>
        <w:rPr>
          <w:rFonts w:cs="Times New Roman"/>
          <w:color w:val="000000" w:themeColor="text1"/>
          <w:szCs w:val="24"/>
        </w:rPr>
        <w:t>in</w:t>
      </w:r>
      <w:r w:rsidRPr="00734B0B">
        <w:rPr>
          <w:rFonts w:cs="Times New Roman"/>
          <w:color w:val="000000" w:themeColor="text1"/>
          <w:szCs w:val="24"/>
        </w:rPr>
        <w:t xml:space="preserve"> program completion (TBR, n.d.</w:t>
      </w:r>
      <w:r w:rsidRPr="00F61B99">
        <w:rPr>
          <w:rFonts w:cs="Times New Roman"/>
          <w:color w:val="000000" w:themeColor="text1"/>
          <w:szCs w:val="24"/>
        </w:rPr>
        <w:t>-a</w:t>
      </w:r>
      <w:r w:rsidRPr="00734B0B">
        <w:rPr>
          <w:rFonts w:cs="Times New Roman"/>
          <w:color w:val="000000" w:themeColor="text1"/>
          <w:szCs w:val="24"/>
        </w:rPr>
        <w:t>).</w:t>
      </w:r>
    </w:p>
    <w:p w14:paraId="4F4A6EDA" w14:textId="65E9EF76" w:rsidR="004813AE" w:rsidRPr="00D97962" w:rsidRDefault="004813AE" w:rsidP="004813AE">
      <w:pPr>
        <w:ind w:left="720" w:hanging="720"/>
        <w:rPr>
          <w:rFonts w:cs="Times New Roman"/>
          <w:color w:val="000000" w:themeColor="text1"/>
          <w:szCs w:val="24"/>
        </w:rPr>
      </w:pPr>
      <w:r w:rsidRPr="00D97962">
        <w:rPr>
          <w:rFonts w:cs="Times New Roman"/>
          <w:i/>
          <w:color w:val="000000" w:themeColor="text1"/>
          <w:szCs w:val="24"/>
        </w:rPr>
        <w:t>Dual Enrollment</w:t>
      </w:r>
      <w:r>
        <w:rPr>
          <w:rFonts w:cs="Times New Roman"/>
          <w:i/>
          <w:color w:val="000000" w:themeColor="text1"/>
          <w:szCs w:val="24"/>
        </w:rPr>
        <w:t xml:space="preserve"> (DE)</w:t>
      </w:r>
      <w:r w:rsidRPr="00D97962">
        <w:rPr>
          <w:rFonts w:cs="Times New Roman"/>
          <w:i/>
          <w:color w:val="000000" w:themeColor="text1"/>
          <w:szCs w:val="24"/>
        </w:rPr>
        <w:t xml:space="preserve">: </w:t>
      </w:r>
      <w:r>
        <w:rPr>
          <w:rFonts w:cs="Times New Roman"/>
          <w:color w:val="000000" w:themeColor="text1"/>
          <w:szCs w:val="24"/>
        </w:rPr>
        <w:t>A</w:t>
      </w:r>
      <w:r w:rsidRPr="00D97962">
        <w:rPr>
          <w:rFonts w:cs="Times New Roman"/>
          <w:color w:val="000000" w:themeColor="text1"/>
          <w:szCs w:val="24"/>
        </w:rPr>
        <w:t xml:space="preserve"> program that enables students to enroll in postsecondary courses to receive college credit while still in high school; mainly juniors and seniors (An &amp; Taylor</w:t>
      </w:r>
      <w:r>
        <w:rPr>
          <w:rFonts w:cs="Times New Roman"/>
          <w:color w:val="000000" w:themeColor="text1"/>
          <w:szCs w:val="24"/>
        </w:rPr>
        <w:t>, 2019</w:t>
      </w:r>
      <w:r w:rsidRPr="00D97962">
        <w:rPr>
          <w:rFonts w:cs="Times New Roman"/>
          <w:color w:val="000000" w:themeColor="text1"/>
          <w:szCs w:val="24"/>
        </w:rPr>
        <w:t>; Grub et al.</w:t>
      </w:r>
      <w:r>
        <w:rPr>
          <w:rFonts w:cs="Times New Roman"/>
          <w:color w:val="000000" w:themeColor="text1"/>
          <w:szCs w:val="24"/>
        </w:rPr>
        <w:t>, 2017</w:t>
      </w:r>
      <w:r w:rsidRPr="00D97962">
        <w:rPr>
          <w:rFonts w:cs="Times New Roman"/>
          <w:color w:val="000000" w:themeColor="text1"/>
          <w:szCs w:val="24"/>
        </w:rPr>
        <w:t>; Jones, 201</w:t>
      </w:r>
      <w:r>
        <w:rPr>
          <w:rFonts w:cs="Times New Roman"/>
          <w:color w:val="000000" w:themeColor="text1"/>
          <w:szCs w:val="24"/>
        </w:rPr>
        <w:t>4</w:t>
      </w:r>
      <w:r w:rsidRPr="00D97962">
        <w:rPr>
          <w:rFonts w:cs="Times New Roman"/>
          <w:color w:val="000000" w:themeColor="text1"/>
          <w:szCs w:val="24"/>
        </w:rPr>
        <w:t xml:space="preserve">; Kanny, 2015; Karp &amp; Hughes, 2008). These courses can be taught at the high school, college campus, or online by instructors who have met postsecondary credentials </w:t>
      </w:r>
      <w:bookmarkStart w:id="27" w:name="_Hlk200115039"/>
      <w:r w:rsidRPr="00D97962">
        <w:rPr>
          <w:rFonts w:cs="Times New Roman"/>
          <w:color w:val="000000" w:themeColor="text1"/>
          <w:szCs w:val="24"/>
        </w:rPr>
        <w:t>(</w:t>
      </w:r>
      <w:r w:rsidRPr="00B417B4">
        <w:rPr>
          <w:rFonts w:cs="Times New Roman"/>
          <w:color w:val="000000" w:themeColor="text1"/>
          <w:szCs w:val="24"/>
        </w:rPr>
        <w:t>TDOE, n.d.-b).</w:t>
      </w:r>
      <w:bookmarkEnd w:id="27"/>
    </w:p>
    <w:p w14:paraId="2ED2B554" w14:textId="5048AE40" w:rsidR="00DD6750" w:rsidRPr="00DD6750" w:rsidRDefault="00DD6750" w:rsidP="004813AE">
      <w:pPr>
        <w:ind w:left="720" w:hanging="720"/>
        <w:rPr>
          <w:rFonts w:cs="Times New Roman"/>
          <w:iCs/>
          <w:color w:val="000000" w:themeColor="text1"/>
          <w:szCs w:val="24"/>
        </w:rPr>
      </w:pPr>
      <w:r>
        <w:rPr>
          <w:rFonts w:cs="Times New Roman"/>
          <w:i/>
          <w:color w:val="000000" w:themeColor="text1"/>
          <w:szCs w:val="24"/>
        </w:rPr>
        <w:t>Full-Time Equivalent (FTE):</w:t>
      </w:r>
      <w:r>
        <w:rPr>
          <w:rFonts w:cs="Times New Roman"/>
          <w:iCs/>
          <w:color w:val="000000" w:themeColor="text1"/>
          <w:szCs w:val="24"/>
        </w:rPr>
        <w:t xml:space="preserve"> A single value representing a combination of full-time and part-time students (IPEDS, n.d.).</w:t>
      </w:r>
    </w:p>
    <w:p w14:paraId="758B7ACE" w14:textId="23D49E89" w:rsidR="004813AE" w:rsidRPr="00D97962" w:rsidRDefault="004813AE" w:rsidP="004813AE">
      <w:pPr>
        <w:ind w:left="720" w:hanging="720"/>
        <w:rPr>
          <w:rFonts w:cs="Times New Roman"/>
          <w:color w:val="000000" w:themeColor="text1"/>
          <w:szCs w:val="24"/>
        </w:rPr>
      </w:pPr>
      <w:r w:rsidRPr="00D97962">
        <w:rPr>
          <w:rFonts w:cs="Times New Roman"/>
          <w:i/>
          <w:color w:val="000000" w:themeColor="text1"/>
          <w:szCs w:val="24"/>
        </w:rPr>
        <w:t>International Baccalaureate</w:t>
      </w:r>
      <w:r>
        <w:rPr>
          <w:rFonts w:cs="Times New Roman"/>
          <w:i/>
          <w:color w:val="000000" w:themeColor="text1"/>
          <w:szCs w:val="24"/>
        </w:rPr>
        <w:t xml:space="preserve"> (IB)</w:t>
      </w:r>
      <w:r w:rsidRPr="00D97962">
        <w:rPr>
          <w:rFonts w:cs="Times New Roman"/>
          <w:i/>
          <w:color w:val="000000" w:themeColor="text1"/>
          <w:szCs w:val="24"/>
        </w:rPr>
        <w:t>:</w:t>
      </w:r>
      <w:r w:rsidRPr="00D97962">
        <w:rPr>
          <w:rFonts w:cs="Times New Roman"/>
          <w:color w:val="000000" w:themeColor="text1"/>
          <w:szCs w:val="24"/>
        </w:rPr>
        <w:t xml:space="preserve">  </w:t>
      </w:r>
      <w:r>
        <w:rPr>
          <w:rFonts w:cs="Times New Roman"/>
          <w:color w:val="000000" w:themeColor="text1"/>
          <w:szCs w:val="24"/>
        </w:rPr>
        <w:t>A diploma program that provides high school students the opportunity to take a rigorous, pre-university course of studies aligned with</w:t>
      </w:r>
      <w:r w:rsidR="00E05FD3">
        <w:rPr>
          <w:rFonts w:cs="Times New Roman"/>
          <w:color w:val="000000" w:themeColor="text1"/>
          <w:szCs w:val="24"/>
        </w:rPr>
        <w:t xml:space="preserve"> </w:t>
      </w:r>
      <w:r>
        <w:rPr>
          <w:rFonts w:cs="Times New Roman"/>
          <w:color w:val="000000" w:themeColor="text1"/>
          <w:szCs w:val="24"/>
        </w:rPr>
        <w:lastRenderedPageBreak/>
        <w:t xml:space="preserve">internationally benchmarked exams that could provide opportunities for students to earn postsecondary credits </w:t>
      </w:r>
      <w:r w:rsidRPr="00D97962">
        <w:rPr>
          <w:rFonts w:cs="Times New Roman"/>
          <w:color w:val="000000" w:themeColor="text1"/>
          <w:szCs w:val="24"/>
        </w:rPr>
        <w:t>(</w:t>
      </w:r>
      <w:r w:rsidRPr="00B417B4">
        <w:rPr>
          <w:rFonts w:cs="Times New Roman"/>
          <w:szCs w:val="24"/>
        </w:rPr>
        <w:t>TDOE, n.d.</w:t>
      </w:r>
      <w:r>
        <w:rPr>
          <w:rFonts w:cs="Times New Roman"/>
          <w:szCs w:val="24"/>
        </w:rPr>
        <w:t>-e</w:t>
      </w:r>
      <w:r w:rsidRPr="00B417B4">
        <w:rPr>
          <w:rFonts w:cs="Times New Roman"/>
          <w:szCs w:val="24"/>
        </w:rPr>
        <w:t>).</w:t>
      </w:r>
    </w:p>
    <w:p w14:paraId="02F33A55" w14:textId="5DD6F241" w:rsidR="004813AE" w:rsidRPr="00D97962" w:rsidRDefault="004813AE" w:rsidP="004813AE">
      <w:pPr>
        <w:ind w:left="720" w:hanging="720"/>
        <w:rPr>
          <w:rFonts w:cs="Times New Roman"/>
          <w:color w:val="000000" w:themeColor="text1"/>
          <w:szCs w:val="24"/>
        </w:rPr>
      </w:pPr>
      <w:r w:rsidRPr="00D97962">
        <w:rPr>
          <w:rFonts w:cs="Times New Roman"/>
          <w:i/>
          <w:color w:val="000000" w:themeColor="text1"/>
          <w:szCs w:val="24"/>
        </w:rPr>
        <w:t>Local Dual Credit</w:t>
      </w:r>
      <w:r>
        <w:rPr>
          <w:rFonts w:cs="Times New Roman"/>
          <w:i/>
          <w:color w:val="000000" w:themeColor="text1"/>
          <w:szCs w:val="24"/>
        </w:rPr>
        <w:t xml:space="preserve"> (LDC)</w:t>
      </w:r>
      <w:r w:rsidRPr="00D97962">
        <w:rPr>
          <w:rFonts w:cs="Times New Roman"/>
          <w:i/>
          <w:color w:val="000000" w:themeColor="text1"/>
          <w:szCs w:val="24"/>
        </w:rPr>
        <w:t>:</w:t>
      </w:r>
      <w:r w:rsidRPr="00D97962">
        <w:rPr>
          <w:rFonts w:cs="Times New Roman"/>
          <w:color w:val="000000" w:themeColor="text1"/>
          <w:szCs w:val="24"/>
        </w:rPr>
        <w:t xml:space="preserve"> </w:t>
      </w:r>
      <w:r>
        <w:rPr>
          <w:rFonts w:cs="Times New Roman"/>
          <w:color w:val="000000" w:themeColor="text1"/>
          <w:szCs w:val="24"/>
        </w:rPr>
        <w:t>A high school course, taught by a postsecondary institution</w:t>
      </w:r>
      <w:r w:rsidR="00C8554B">
        <w:rPr>
          <w:rFonts w:cs="Times New Roman"/>
          <w:color w:val="000000" w:themeColor="text1"/>
          <w:szCs w:val="24"/>
        </w:rPr>
        <w:t>-</w:t>
      </w:r>
      <w:r>
        <w:rPr>
          <w:rFonts w:cs="Times New Roman"/>
          <w:color w:val="000000" w:themeColor="text1"/>
          <w:szCs w:val="24"/>
        </w:rPr>
        <w:t>approved licensed high school teacher or certified college instructor, that is aligned to a local postsecondary institution’s course and exam</w:t>
      </w:r>
      <w:r w:rsidR="00C8554B">
        <w:rPr>
          <w:rFonts w:cs="Times New Roman"/>
          <w:color w:val="000000" w:themeColor="text1"/>
          <w:szCs w:val="24"/>
        </w:rPr>
        <w:t>,</w:t>
      </w:r>
      <w:r>
        <w:rPr>
          <w:rFonts w:cs="Times New Roman"/>
          <w:color w:val="000000" w:themeColor="text1"/>
          <w:szCs w:val="24"/>
        </w:rPr>
        <w:t xml:space="preserve"> where a student who passes the exam can earn credits accepted by the local postsecondary institution (</w:t>
      </w:r>
      <w:r w:rsidRPr="00B417B4">
        <w:rPr>
          <w:rFonts w:cs="Times New Roman"/>
          <w:szCs w:val="24"/>
        </w:rPr>
        <w:t>TDOE, n.d.</w:t>
      </w:r>
      <w:r>
        <w:rPr>
          <w:rFonts w:cs="Times New Roman"/>
          <w:szCs w:val="24"/>
        </w:rPr>
        <w:t>-f</w:t>
      </w:r>
      <w:r w:rsidRPr="00B417B4">
        <w:rPr>
          <w:rFonts w:cs="Times New Roman"/>
          <w:szCs w:val="24"/>
        </w:rPr>
        <w:t>).</w:t>
      </w:r>
    </w:p>
    <w:p w14:paraId="48118E58" w14:textId="07981408" w:rsidR="004813AE" w:rsidRPr="00485B0A" w:rsidRDefault="004813AE" w:rsidP="004813AE">
      <w:pPr>
        <w:ind w:left="720" w:hanging="720"/>
        <w:rPr>
          <w:rFonts w:cs="Times New Roman"/>
          <w:color w:val="000000" w:themeColor="text1"/>
          <w:szCs w:val="24"/>
        </w:rPr>
      </w:pPr>
      <w:r w:rsidRPr="00D97962">
        <w:rPr>
          <w:rFonts w:cs="Times New Roman"/>
          <w:i/>
          <w:color w:val="000000" w:themeColor="text1"/>
          <w:szCs w:val="24"/>
        </w:rPr>
        <w:t>Statewide Dual Credit</w:t>
      </w:r>
      <w:r>
        <w:rPr>
          <w:rFonts w:cs="Times New Roman"/>
          <w:i/>
          <w:color w:val="000000" w:themeColor="text1"/>
          <w:szCs w:val="24"/>
        </w:rPr>
        <w:t xml:space="preserve"> (SDC)</w:t>
      </w:r>
      <w:r w:rsidRPr="00D97962">
        <w:rPr>
          <w:rFonts w:cs="Times New Roman"/>
          <w:i/>
          <w:color w:val="000000" w:themeColor="text1"/>
          <w:szCs w:val="24"/>
        </w:rPr>
        <w:t>:</w:t>
      </w:r>
      <w:r>
        <w:rPr>
          <w:rFonts w:cs="Times New Roman"/>
          <w:i/>
          <w:color w:val="000000" w:themeColor="text1"/>
          <w:szCs w:val="24"/>
        </w:rPr>
        <w:t xml:space="preserve"> </w:t>
      </w:r>
      <w:r>
        <w:rPr>
          <w:rFonts w:cs="Times New Roman"/>
          <w:color w:val="000000" w:themeColor="text1"/>
          <w:szCs w:val="24"/>
        </w:rPr>
        <w:t xml:space="preserve">College-level courses developed by Tennessee high school and college faculty to align with postsecondary standards and taught at the high school level by trained high school teachers with a required challenge exam for postsecondary credit at the state institution (TDOE, n.d.-h). </w:t>
      </w:r>
    </w:p>
    <w:p w14:paraId="362E6C74" w14:textId="24440E89" w:rsidR="00157274" w:rsidRPr="00157274" w:rsidRDefault="00157274" w:rsidP="004813AE">
      <w:pPr>
        <w:ind w:left="720" w:hanging="720"/>
        <w:rPr>
          <w:rFonts w:cs="Times New Roman"/>
          <w:iCs/>
          <w:color w:val="000000" w:themeColor="text1"/>
          <w:szCs w:val="24"/>
        </w:rPr>
      </w:pPr>
      <w:r>
        <w:rPr>
          <w:rFonts w:cs="Times New Roman"/>
          <w:i/>
          <w:color w:val="000000" w:themeColor="text1"/>
          <w:szCs w:val="24"/>
        </w:rPr>
        <w:t>Supporting Access in Rural Counties (SPARC):</w:t>
      </w:r>
      <w:r>
        <w:rPr>
          <w:rFonts w:cs="Times New Roman"/>
          <w:iCs/>
          <w:color w:val="000000" w:themeColor="text1"/>
          <w:szCs w:val="24"/>
        </w:rPr>
        <w:t xml:space="preserve"> A Tennessee initiative to bridge the gap of infrastructure need, access to higher education, and additional Career and Technical Education (CTE) dual enrollment for SPARC identified counties that are “universally rural and have historically struggled to meet the expectations of the State’s Higher Education Master Plan around postsecondary access and success” (THEC, 2022).</w:t>
      </w:r>
    </w:p>
    <w:p w14:paraId="648E9A0A" w14:textId="73845143" w:rsidR="004813AE" w:rsidRPr="00D97962" w:rsidRDefault="004813AE" w:rsidP="004813AE">
      <w:pPr>
        <w:ind w:left="720" w:hanging="720"/>
        <w:rPr>
          <w:rFonts w:cs="Times New Roman"/>
          <w:color w:val="000000" w:themeColor="text1"/>
          <w:szCs w:val="24"/>
        </w:rPr>
      </w:pPr>
      <w:r w:rsidRPr="00D97962">
        <w:rPr>
          <w:rFonts w:cs="Times New Roman"/>
          <w:i/>
          <w:color w:val="000000" w:themeColor="text1"/>
          <w:szCs w:val="24"/>
        </w:rPr>
        <w:t>Industry Certification</w:t>
      </w:r>
      <w:r>
        <w:rPr>
          <w:rFonts w:cs="Times New Roman"/>
          <w:i/>
          <w:color w:val="000000" w:themeColor="text1"/>
          <w:szCs w:val="24"/>
        </w:rPr>
        <w:t xml:space="preserve"> (IC)</w:t>
      </w:r>
      <w:r w:rsidRPr="00D97962">
        <w:rPr>
          <w:rFonts w:cs="Times New Roman"/>
          <w:i/>
          <w:color w:val="000000" w:themeColor="text1"/>
          <w:szCs w:val="24"/>
        </w:rPr>
        <w:t>:</w:t>
      </w:r>
      <w:r w:rsidRPr="00D97962">
        <w:rPr>
          <w:rFonts w:cs="Times New Roman"/>
          <w:color w:val="000000" w:themeColor="text1"/>
          <w:szCs w:val="24"/>
        </w:rPr>
        <w:t xml:space="preserve">  </w:t>
      </w:r>
      <w:r>
        <w:rPr>
          <w:rFonts w:cs="Times New Roman"/>
          <w:color w:val="000000" w:themeColor="text1"/>
          <w:szCs w:val="24"/>
        </w:rPr>
        <w:t>Credentials are earned through secondary and postsecondary career and technical education programs and courses with assessment by an independent certifying entity based on standards for knowledge, skills, and competencies (TDOE, n.d.-g)</w:t>
      </w:r>
    </w:p>
    <w:p w14:paraId="0C50259B" w14:textId="5040A749" w:rsidR="004813AE" w:rsidRPr="004813AE" w:rsidRDefault="004813AE" w:rsidP="00734B0B">
      <w:pPr>
        <w:ind w:left="720" w:hanging="720"/>
        <w:rPr>
          <w:rFonts w:cs="Times New Roman"/>
          <w:iCs/>
          <w:color w:val="000000" w:themeColor="text1"/>
          <w:szCs w:val="24"/>
        </w:rPr>
      </w:pPr>
      <w:r>
        <w:rPr>
          <w:rFonts w:cs="Times New Roman"/>
          <w:i/>
          <w:color w:val="000000" w:themeColor="text1"/>
          <w:szCs w:val="24"/>
        </w:rPr>
        <w:t xml:space="preserve">Normal time to completion: </w:t>
      </w:r>
      <w:r>
        <w:rPr>
          <w:rFonts w:cs="Times New Roman"/>
          <w:iCs/>
          <w:color w:val="000000" w:themeColor="text1"/>
          <w:szCs w:val="24"/>
        </w:rPr>
        <w:t>The amount of time necessary for a student to complete degree requirements according to an institution (IPEDS, n.d.).</w:t>
      </w:r>
    </w:p>
    <w:p w14:paraId="680CF01C" w14:textId="77777777" w:rsidR="006E614C" w:rsidRPr="006E614C" w:rsidRDefault="006E614C" w:rsidP="006E614C">
      <w:pPr>
        <w:pStyle w:val="Heading3"/>
      </w:pPr>
      <w:bookmarkStart w:id="28" w:name="_Toc224458887"/>
      <w:r>
        <w:lastRenderedPageBreak/>
        <w:t>Delimitations and Limitations</w:t>
      </w:r>
      <w:bookmarkEnd w:id="28"/>
    </w:p>
    <w:p w14:paraId="54E0FF50" w14:textId="6C0C29FE" w:rsidR="00734B0B" w:rsidRPr="00EA5EB0" w:rsidRDefault="00734B0B" w:rsidP="00734B0B">
      <w:pPr>
        <w:ind w:firstLine="720"/>
        <w:rPr>
          <w:rFonts w:cs="Times New Roman"/>
          <w:color w:val="000000" w:themeColor="text1"/>
          <w:spacing w:val="3"/>
          <w:szCs w:val="24"/>
        </w:rPr>
      </w:pPr>
      <w:r w:rsidRPr="00EA5EB0">
        <w:rPr>
          <w:rFonts w:cs="Times New Roman"/>
          <w:color w:val="000000" w:themeColor="text1"/>
          <w:szCs w:val="24"/>
        </w:rPr>
        <w:t>This study</w:t>
      </w:r>
      <w:r w:rsidR="006E655C">
        <w:rPr>
          <w:rFonts w:cs="Times New Roman"/>
          <w:color w:val="000000" w:themeColor="text1"/>
          <w:szCs w:val="24"/>
        </w:rPr>
        <w:t xml:space="preserve"> was</w:t>
      </w:r>
      <w:r w:rsidRPr="00EA5EB0">
        <w:rPr>
          <w:rFonts w:cs="Times New Roman"/>
          <w:color w:val="000000" w:themeColor="text1"/>
          <w:szCs w:val="24"/>
        </w:rPr>
        <w:t xml:space="preserve"> delimited to</w:t>
      </w:r>
      <w:r w:rsidR="001D7D72">
        <w:rPr>
          <w:rFonts w:cs="Times New Roman"/>
          <w:color w:val="000000" w:themeColor="text1"/>
          <w:szCs w:val="24"/>
        </w:rPr>
        <w:t xml:space="preserve"> </w:t>
      </w:r>
      <w:r w:rsidRPr="00EA5EB0">
        <w:rPr>
          <w:rFonts w:cs="Times New Roman"/>
          <w:color w:val="000000" w:themeColor="text1"/>
          <w:szCs w:val="24"/>
        </w:rPr>
        <w:t>academic data of student cohorts of</w:t>
      </w:r>
      <w:r w:rsidRPr="00EA5EB0">
        <w:rPr>
          <w:rFonts w:cs="Times New Roman"/>
          <w:color w:val="000000" w:themeColor="text1"/>
          <w:spacing w:val="3"/>
          <w:szCs w:val="24"/>
        </w:rPr>
        <w:t xml:space="preserve"> 2017, 2018, 2019,</w:t>
      </w:r>
      <w:r w:rsidR="00572A24" w:rsidRPr="00EA5EB0">
        <w:rPr>
          <w:rFonts w:cs="Times New Roman"/>
          <w:color w:val="000000" w:themeColor="text1"/>
          <w:spacing w:val="3"/>
          <w:szCs w:val="24"/>
        </w:rPr>
        <w:t xml:space="preserve"> </w:t>
      </w:r>
      <w:r w:rsidRPr="00EA5EB0">
        <w:rPr>
          <w:rFonts w:cs="Times New Roman"/>
          <w:color w:val="000000" w:themeColor="text1"/>
          <w:spacing w:val="3"/>
          <w:szCs w:val="24"/>
        </w:rPr>
        <w:t>2020,</w:t>
      </w:r>
      <w:r w:rsidR="00572A24" w:rsidRPr="00EA5EB0">
        <w:rPr>
          <w:rFonts w:cs="Times New Roman"/>
          <w:color w:val="000000" w:themeColor="text1"/>
          <w:spacing w:val="3"/>
          <w:szCs w:val="24"/>
        </w:rPr>
        <w:t xml:space="preserve"> and 2021</w:t>
      </w:r>
      <w:r w:rsidRPr="00EA5EB0">
        <w:rPr>
          <w:rFonts w:cs="Times New Roman"/>
          <w:color w:val="000000" w:themeColor="text1"/>
          <w:spacing w:val="3"/>
          <w:szCs w:val="24"/>
        </w:rPr>
        <w:t xml:space="preserve"> broken down </w:t>
      </w:r>
      <w:r w:rsidR="0089685C">
        <w:rPr>
          <w:rFonts w:cs="Times New Roman"/>
          <w:color w:val="000000" w:themeColor="text1"/>
          <w:spacing w:val="3"/>
          <w:szCs w:val="24"/>
        </w:rPr>
        <w:t>in</w:t>
      </w:r>
      <w:r w:rsidRPr="00EA5EB0">
        <w:rPr>
          <w:rFonts w:cs="Times New Roman"/>
          <w:color w:val="000000" w:themeColor="text1"/>
          <w:spacing w:val="3"/>
          <w:szCs w:val="24"/>
        </w:rPr>
        <w:t>to dual enrollment students and non-dual enrollment students. Data</w:t>
      </w:r>
      <w:r w:rsidR="006E655C">
        <w:rPr>
          <w:rFonts w:cs="Times New Roman"/>
          <w:color w:val="000000" w:themeColor="text1"/>
          <w:spacing w:val="3"/>
          <w:szCs w:val="24"/>
        </w:rPr>
        <w:t xml:space="preserve"> w</w:t>
      </w:r>
      <w:r w:rsidR="001D7D72">
        <w:rPr>
          <w:rFonts w:cs="Times New Roman"/>
          <w:color w:val="000000" w:themeColor="text1"/>
          <w:spacing w:val="3"/>
          <w:szCs w:val="24"/>
        </w:rPr>
        <w:t>ere</w:t>
      </w:r>
      <w:r w:rsidRPr="00EA5EB0">
        <w:rPr>
          <w:rFonts w:cs="Times New Roman"/>
          <w:color w:val="000000" w:themeColor="text1"/>
          <w:spacing w:val="3"/>
          <w:szCs w:val="24"/>
        </w:rPr>
        <w:t xml:space="preserve"> collect</w:t>
      </w:r>
      <w:r w:rsidR="006E655C">
        <w:rPr>
          <w:rFonts w:cs="Times New Roman"/>
          <w:color w:val="000000" w:themeColor="text1"/>
          <w:spacing w:val="3"/>
          <w:szCs w:val="24"/>
        </w:rPr>
        <w:t>ed</w:t>
      </w:r>
      <w:r w:rsidRPr="00EA5EB0">
        <w:rPr>
          <w:rFonts w:cs="Times New Roman"/>
          <w:color w:val="000000" w:themeColor="text1"/>
          <w:spacing w:val="3"/>
          <w:szCs w:val="24"/>
        </w:rPr>
        <w:t xml:space="preserve"> from one community college governed by the Tennessee Board of Regents. </w:t>
      </w:r>
      <w:r w:rsidR="00D10B9C" w:rsidRPr="00EA5EB0">
        <w:rPr>
          <w:rFonts w:cs="Times New Roman"/>
          <w:color w:val="000000" w:themeColor="text1"/>
          <w:szCs w:val="24"/>
        </w:rPr>
        <w:t xml:space="preserve">Therefore, the study </w:t>
      </w:r>
      <w:r w:rsidR="006E655C">
        <w:rPr>
          <w:rFonts w:cs="Times New Roman"/>
          <w:color w:val="000000" w:themeColor="text1"/>
          <w:szCs w:val="24"/>
        </w:rPr>
        <w:t>did</w:t>
      </w:r>
      <w:r w:rsidR="00D10B9C" w:rsidRPr="00EA5EB0">
        <w:rPr>
          <w:rFonts w:cs="Times New Roman"/>
          <w:color w:val="000000" w:themeColor="text1"/>
          <w:szCs w:val="24"/>
        </w:rPr>
        <w:t xml:space="preserve"> not represent the relationship between dual enrollment and completion at other community colleges within the state</w:t>
      </w:r>
      <w:r w:rsidR="001D7D72">
        <w:rPr>
          <w:rFonts w:cs="Times New Roman"/>
          <w:color w:val="000000" w:themeColor="text1"/>
          <w:szCs w:val="24"/>
        </w:rPr>
        <w:t>.</w:t>
      </w:r>
      <w:r w:rsidR="00D10B9C" w:rsidRPr="00EA5EB0">
        <w:rPr>
          <w:rFonts w:cs="Times New Roman"/>
          <w:color w:val="000000" w:themeColor="text1"/>
          <w:szCs w:val="24"/>
        </w:rPr>
        <w:t xml:space="preserve"> </w:t>
      </w:r>
    </w:p>
    <w:p w14:paraId="7A6F3925" w14:textId="7F6ACCAE" w:rsidR="00282198" w:rsidRPr="00EA5EB0" w:rsidRDefault="00734B0B" w:rsidP="00282198">
      <w:pPr>
        <w:ind w:firstLine="720"/>
        <w:rPr>
          <w:rFonts w:cs="Times New Roman"/>
          <w:color w:val="000000" w:themeColor="text1"/>
          <w:szCs w:val="24"/>
        </w:rPr>
      </w:pPr>
      <w:r w:rsidRPr="00EA5EB0">
        <w:rPr>
          <w:rFonts w:cs="Times New Roman"/>
          <w:color w:val="000000" w:themeColor="text1"/>
          <w:szCs w:val="24"/>
        </w:rPr>
        <w:t xml:space="preserve">The limitations of this study </w:t>
      </w:r>
      <w:r w:rsidR="006E655C">
        <w:rPr>
          <w:rFonts w:cs="Times New Roman"/>
          <w:color w:val="000000" w:themeColor="text1"/>
          <w:szCs w:val="24"/>
        </w:rPr>
        <w:t>were</w:t>
      </w:r>
      <w:r w:rsidRPr="00EA5EB0">
        <w:rPr>
          <w:rFonts w:cs="Times New Roman"/>
          <w:color w:val="000000" w:themeColor="text1"/>
          <w:szCs w:val="24"/>
        </w:rPr>
        <w:t xml:space="preserve"> the types of enrollment and academic variables. Additionally, this non-experimental study rel</w:t>
      </w:r>
      <w:r w:rsidR="006E655C">
        <w:rPr>
          <w:rFonts w:cs="Times New Roman"/>
          <w:color w:val="000000" w:themeColor="text1"/>
          <w:szCs w:val="24"/>
        </w:rPr>
        <w:t>ied</w:t>
      </w:r>
      <w:r w:rsidRPr="00EA5EB0">
        <w:rPr>
          <w:rFonts w:cs="Times New Roman"/>
          <w:color w:val="000000" w:themeColor="text1"/>
          <w:szCs w:val="24"/>
        </w:rPr>
        <w:t xml:space="preserve"> on existing institutional data</w:t>
      </w:r>
      <w:r w:rsidR="00572A24" w:rsidRPr="00EA5EB0">
        <w:rPr>
          <w:rFonts w:cs="Times New Roman"/>
          <w:color w:val="000000" w:themeColor="text1"/>
          <w:szCs w:val="24"/>
        </w:rPr>
        <w:t xml:space="preserve"> representing one community college</w:t>
      </w:r>
      <w:r w:rsidRPr="00EA5EB0">
        <w:rPr>
          <w:rFonts w:cs="Times New Roman"/>
          <w:color w:val="000000" w:themeColor="text1"/>
          <w:szCs w:val="24"/>
        </w:rPr>
        <w:t xml:space="preserve">. </w:t>
      </w:r>
      <w:r w:rsidR="005A44D1">
        <w:rPr>
          <w:rFonts w:cs="Times New Roman"/>
          <w:color w:val="000000" w:themeColor="text1"/>
          <w:szCs w:val="24"/>
        </w:rPr>
        <w:t>While this enhance</w:t>
      </w:r>
      <w:r w:rsidR="006E655C">
        <w:rPr>
          <w:rFonts w:cs="Times New Roman"/>
          <w:color w:val="000000" w:themeColor="text1"/>
          <w:szCs w:val="24"/>
        </w:rPr>
        <w:t>d</w:t>
      </w:r>
      <w:r w:rsidR="005A44D1">
        <w:rPr>
          <w:rFonts w:cs="Times New Roman"/>
          <w:color w:val="000000" w:themeColor="text1"/>
          <w:szCs w:val="24"/>
        </w:rPr>
        <w:t xml:space="preserve"> the internal validity of the research, l</w:t>
      </w:r>
      <w:r w:rsidRPr="00EA5EB0">
        <w:rPr>
          <w:rFonts w:cs="Times New Roman"/>
          <w:color w:val="000000" w:themeColor="text1"/>
          <w:szCs w:val="24"/>
        </w:rPr>
        <w:t>imited samples lack</w:t>
      </w:r>
      <w:r w:rsidR="006E655C">
        <w:rPr>
          <w:rFonts w:cs="Times New Roman"/>
          <w:color w:val="000000" w:themeColor="text1"/>
          <w:szCs w:val="24"/>
        </w:rPr>
        <w:t>ed</w:t>
      </w:r>
      <w:r w:rsidRPr="00EA5EB0">
        <w:rPr>
          <w:rFonts w:cs="Times New Roman"/>
          <w:color w:val="000000" w:themeColor="text1"/>
          <w:szCs w:val="24"/>
        </w:rPr>
        <w:t xml:space="preserve"> larger populations, external validity, or the ability to control variables. </w:t>
      </w:r>
      <w:r w:rsidR="00D42201">
        <w:rPr>
          <w:rFonts w:cs="Times New Roman"/>
          <w:color w:val="000000" w:themeColor="text1"/>
          <w:szCs w:val="24"/>
        </w:rPr>
        <w:t>Data were drawn</w:t>
      </w:r>
      <w:r w:rsidR="00791658">
        <w:rPr>
          <w:rFonts w:cs="Times New Roman"/>
          <w:color w:val="000000" w:themeColor="text1"/>
          <w:szCs w:val="24"/>
        </w:rPr>
        <w:t xml:space="preserve"> from</w:t>
      </w:r>
      <w:r w:rsidRPr="00EA5EB0">
        <w:rPr>
          <w:rFonts w:cs="Times New Roman"/>
          <w:color w:val="000000" w:themeColor="text1"/>
          <w:szCs w:val="24"/>
        </w:rPr>
        <w:t xml:space="preserve"> a single institution </w:t>
      </w:r>
      <w:r w:rsidR="00D42201">
        <w:rPr>
          <w:rFonts w:cs="Times New Roman"/>
          <w:color w:val="000000" w:themeColor="text1"/>
          <w:szCs w:val="24"/>
        </w:rPr>
        <w:t xml:space="preserve">and </w:t>
      </w:r>
      <w:r w:rsidR="006E655C">
        <w:rPr>
          <w:rFonts w:cs="Times New Roman"/>
          <w:color w:val="000000" w:themeColor="text1"/>
          <w:szCs w:val="24"/>
        </w:rPr>
        <w:t>was</w:t>
      </w:r>
      <w:r w:rsidRPr="00EA5EB0">
        <w:rPr>
          <w:rFonts w:cs="Times New Roman"/>
          <w:color w:val="000000" w:themeColor="text1"/>
          <w:szCs w:val="24"/>
        </w:rPr>
        <w:t xml:space="preserve"> limited </w:t>
      </w:r>
      <w:r w:rsidR="00572A24" w:rsidRPr="00EA5EB0">
        <w:rPr>
          <w:rFonts w:cs="Times New Roman"/>
          <w:color w:val="000000" w:themeColor="text1"/>
          <w:szCs w:val="24"/>
        </w:rPr>
        <w:t xml:space="preserve">to the most recent cohorts of </w:t>
      </w:r>
      <w:r w:rsidR="00D0296F" w:rsidRPr="00EA5EB0">
        <w:rPr>
          <w:rFonts w:cs="Times New Roman"/>
          <w:color w:val="000000" w:themeColor="text1"/>
          <w:szCs w:val="24"/>
        </w:rPr>
        <w:t xml:space="preserve">2017, 2018, </w:t>
      </w:r>
      <w:r w:rsidR="00572A24" w:rsidRPr="00EA5EB0">
        <w:rPr>
          <w:rFonts w:cs="Times New Roman"/>
          <w:color w:val="000000" w:themeColor="text1"/>
          <w:szCs w:val="24"/>
        </w:rPr>
        <w:t>2019, 2020, and 2021.</w:t>
      </w:r>
      <w:r w:rsidR="00282198" w:rsidRPr="00EA5EB0">
        <w:rPr>
          <w:rFonts w:cs="Times New Roman"/>
          <w:color w:val="000000" w:themeColor="text1"/>
          <w:szCs w:val="24"/>
        </w:rPr>
        <w:t xml:space="preserve"> </w:t>
      </w:r>
      <w:r w:rsidR="00A83A3C">
        <w:rPr>
          <w:rFonts w:cs="Times New Roman"/>
          <w:color w:val="000000" w:themeColor="text1"/>
          <w:szCs w:val="24"/>
        </w:rPr>
        <w:t xml:space="preserve">Data collected from cohorts of a single rural community college may not be similar </w:t>
      </w:r>
      <w:r w:rsidR="00B50705">
        <w:rPr>
          <w:rFonts w:cs="Times New Roman"/>
          <w:color w:val="000000" w:themeColor="text1"/>
          <w:szCs w:val="24"/>
        </w:rPr>
        <w:t>to</w:t>
      </w:r>
      <w:r w:rsidR="00A83A3C">
        <w:rPr>
          <w:rFonts w:cs="Times New Roman"/>
          <w:color w:val="000000" w:themeColor="text1"/>
          <w:szCs w:val="24"/>
        </w:rPr>
        <w:t xml:space="preserve"> other community colleges across Tennessee </w:t>
      </w:r>
      <w:r w:rsidR="000A7C01">
        <w:rPr>
          <w:rFonts w:cs="Times New Roman"/>
          <w:color w:val="000000" w:themeColor="text1"/>
          <w:szCs w:val="24"/>
        </w:rPr>
        <w:t xml:space="preserve">or </w:t>
      </w:r>
      <w:r w:rsidR="00A83A3C">
        <w:rPr>
          <w:rFonts w:cs="Times New Roman"/>
          <w:color w:val="000000" w:themeColor="text1"/>
          <w:szCs w:val="24"/>
        </w:rPr>
        <w:t xml:space="preserve">the </w:t>
      </w:r>
      <w:r w:rsidR="000A7C01">
        <w:rPr>
          <w:rFonts w:cs="Times New Roman"/>
          <w:color w:val="000000" w:themeColor="text1"/>
          <w:szCs w:val="24"/>
        </w:rPr>
        <w:t>S</w:t>
      </w:r>
      <w:r w:rsidR="00A83A3C">
        <w:rPr>
          <w:rFonts w:cs="Times New Roman"/>
          <w:color w:val="000000" w:themeColor="text1"/>
          <w:szCs w:val="24"/>
        </w:rPr>
        <w:t xml:space="preserve">outheast. </w:t>
      </w:r>
      <w:r w:rsidR="00282198" w:rsidRPr="00EA5EB0">
        <w:rPr>
          <w:rFonts w:cs="Times New Roman"/>
          <w:color w:val="000000" w:themeColor="text1"/>
          <w:szCs w:val="24"/>
        </w:rPr>
        <w:t xml:space="preserve">Another limitation </w:t>
      </w:r>
      <w:r w:rsidR="006E655C">
        <w:rPr>
          <w:rFonts w:cs="Times New Roman"/>
          <w:color w:val="000000" w:themeColor="text1"/>
          <w:szCs w:val="24"/>
        </w:rPr>
        <w:t>was</w:t>
      </w:r>
      <w:r w:rsidR="00282198" w:rsidRPr="00EA5EB0">
        <w:rPr>
          <w:rFonts w:cs="Times New Roman"/>
          <w:color w:val="000000" w:themeColor="text1"/>
          <w:szCs w:val="24"/>
        </w:rPr>
        <w:t xml:space="preserve"> the potential effects on data due to the COVID-19 pandemic. </w:t>
      </w:r>
      <w:r w:rsidR="00F33732">
        <w:rPr>
          <w:rFonts w:cs="Times New Roman"/>
          <w:color w:val="000000" w:themeColor="text1"/>
          <w:szCs w:val="24"/>
        </w:rPr>
        <w:t xml:space="preserve">The </w:t>
      </w:r>
      <w:r w:rsidR="00282198" w:rsidRPr="00EA5EB0">
        <w:rPr>
          <w:rFonts w:cs="Times New Roman"/>
          <w:color w:val="000000" w:themeColor="text1"/>
          <w:szCs w:val="24"/>
        </w:rPr>
        <w:t>2017 and 2018 cohorts were within the three-year window for completion</w:t>
      </w:r>
      <w:r w:rsidR="00F33732">
        <w:rPr>
          <w:rFonts w:cs="Times New Roman"/>
          <w:color w:val="000000" w:themeColor="text1"/>
          <w:szCs w:val="24"/>
        </w:rPr>
        <w:t>,</w:t>
      </w:r>
      <w:r w:rsidR="00296919" w:rsidRPr="00EA5EB0">
        <w:rPr>
          <w:rFonts w:cs="Times New Roman"/>
          <w:color w:val="000000" w:themeColor="text1"/>
          <w:szCs w:val="24"/>
        </w:rPr>
        <w:t xml:space="preserve"> while </w:t>
      </w:r>
      <w:r w:rsidR="00F33732">
        <w:rPr>
          <w:rFonts w:cs="Times New Roman"/>
          <w:color w:val="000000" w:themeColor="text1"/>
          <w:szCs w:val="24"/>
        </w:rPr>
        <w:t xml:space="preserve">the </w:t>
      </w:r>
      <w:r w:rsidR="00EA5EB0" w:rsidRPr="00EA5EB0">
        <w:rPr>
          <w:rFonts w:cs="Times New Roman"/>
          <w:color w:val="000000" w:themeColor="text1"/>
          <w:szCs w:val="24"/>
        </w:rPr>
        <w:t>2019 and 2020 cohorts experienced changes in delivery and other restrictions due to the pandemic.</w:t>
      </w:r>
      <w:r w:rsidR="00282198" w:rsidRPr="00EA5EB0">
        <w:rPr>
          <w:rFonts w:cs="Times New Roman"/>
          <w:color w:val="000000" w:themeColor="text1"/>
          <w:szCs w:val="24"/>
        </w:rPr>
        <w:t xml:space="preserve"> </w:t>
      </w:r>
    </w:p>
    <w:p w14:paraId="32631EAD" w14:textId="77777777" w:rsidR="006E614C" w:rsidRPr="006E614C" w:rsidRDefault="006E614C" w:rsidP="006E614C">
      <w:pPr>
        <w:pStyle w:val="Heading3"/>
      </w:pPr>
      <w:bookmarkStart w:id="29" w:name="_Toc224458888"/>
      <w:r>
        <w:t>Chapter Summary</w:t>
      </w:r>
      <w:bookmarkEnd w:id="29"/>
    </w:p>
    <w:p w14:paraId="1F9CB2C2" w14:textId="30BDBAE3" w:rsidR="00534C34" w:rsidRDefault="00734B0B" w:rsidP="006E614C">
      <w:pPr>
        <w:ind w:firstLine="720"/>
        <w:rPr>
          <w:rFonts w:cs="Times New Roman"/>
          <w:color w:val="000000" w:themeColor="text1"/>
          <w:szCs w:val="24"/>
        </w:rPr>
      </w:pPr>
      <w:r w:rsidRPr="00BA451B">
        <w:rPr>
          <w:rFonts w:cs="Times New Roman"/>
          <w:color w:val="000000" w:themeColor="text1"/>
          <w:szCs w:val="24"/>
        </w:rPr>
        <w:t>This study co</w:t>
      </w:r>
      <w:r w:rsidR="0049161A">
        <w:rPr>
          <w:rFonts w:cs="Times New Roman"/>
          <w:color w:val="000000" w:themeColor="text1"/>
          <w:szCs w:val="24"/>
        </w:rPr>
        <w:t>nsists of</w:t>
      </w:r>
      <w:r w:rsidRPr="00BA451B">
        <w:rPr>
          <w:rFonts w:cs="Times New Roman"/>
          <w:color w:val="000000" w:themeColor="text1"/>
          <w:szCs w:val="24"/>
        </w:rPr>
        <w:t xml:space="preserve"> five chapters. Chapter 1 </w:t>
      </w:r>
      <w:r w:rsidR="00AF30B7">
        <w:rPr>
          <w:rFonts w:cs="Times New Roman"/>
          <w:color w:val="000000" w:themeColor="text1"/>
          <w:szCs w:val="24"/>
        </w:rPr>
        <w:t>i</w:t>
      </w:r>
      <w:r w:rsidR="00443EF6">
        <w:rPr>
          <w:rFonts w:cs="Times New Roman"/>
          <w:color w:val="000000" w:themeColor="text1"/>
          <w:szCs w:val="24"/>
        </w:rPr>
        <w:t>s an introduction</w:t>
      </w:r>
      <w:r>
        <w:rPr>
          <w:rFonts w:cs="Times New Roman"/>
          <w:color w:val="000000" w:themeColor="text1"/>
          <w:szCs w:val="24"/>
        </w:rPr>
        <w:t xml:space="preserve"> the study, including a statement of the problem, significance of the study, research questions, definitions of key </w:t>
      </w:r>
      <w:r w:rsidRPr="00BA451B">
        <w:rPr>
          <w:rFonts w:cs="Times New Roman"/>
          <w:color w:val="000000" w:themeColor="text1"/>
          <w:szCs w:val="24"/>
        </w:rPr>
        <w:t xml:space="preserve">terms, and limitations and delimitations of the study. Chapter 2 </w:t>
      </w:r>
      <w:r w:rsidR="00443EF6">
        <w:rPr>
          <w:rFonts w:cs="Times New Roman"/>
          <w:color w:val="000000" w:themeColor="text1"/>
          <w:szCs w:val="24"/>
        </w:rPr>
        <w:t>is</w:t>
      </w:r>
      <w:r w:rsidRPr="00BA451B">
        <w:rPr>
          <w:rFonts w:cs="Times New Roman"/>
          <w:color w:val="000000" w:themeColor="text1"/>
          <w:szCs w:val="24"/>
        </w:rPr>
        <w:t xml:space="preserve"> </w:t>
      </w:r>
      <w:r w:rsidR="00F33732">
        <w:rPr>
          <w:rFonts w:cs="Times New Roman"/>
          <w:color w:val="000000" w:themeColor="text1"/>
          <w:szCs w:val="24"/>
        </w:rPr>
        <w:t>a</w:t>
      </w:r>
      <w:r w:rsidRPr="00BA451B">
        <w:rPr>
          <w:rFonts w:cs="Times New Roman"/>
          <w:color w:val="000000" w:themeColor="text1"/>
          <w:szCs w:val="24"/>
        </w:rPr>
        <w:t xml:space="preserve"> review of</w:t>
      </w:r>
      <w:r w:rsidR="00F33732">
        <w:rPr>
          <w:rFonts w:cs="Times New Roman"/>
          <w:color w:val="000000" w:themeColor="text1"/>
          <w:szCs w:val="24"/>
        </w:rPr>
        <w:t xml:space="preserve"> the</w:t>
      </w:r>
      <w:r w:rsidRPr="00BA451B">
        <w:rPr>
          <w:rFonts w:cs="Times New Roman"/>
          <w:color w:val="000000" w:themeColor="text1"/>
          <w:szCs w:val="24"/>
        </w:rPr>
        <w:t xml:space="preserve"> literature related to the history of dual enrollment, the reasons for the push for dual enrollment, and the numerous connections to postsecondary success. Chapter 3 </w:t>
      </w:r>
      <w:r w:rsidR="00443EF6" w:rsidRPr="00BA451B">
        <w:rPr>
          <w:rFonts w:cs="Times New Roman"/>
          <w:color w:val="000000" w:themeColor="text1"/>
          <w:szCs w:val="24"/>
        </w:rPr>
        <w:t>present</w:t>
      </w:r>
      <w:r w:rsidR="00443EF6">
        <w:rPr>
          <w:rFonts w:cs="Times New Roman"/>
          <w:color w:val="000000" w:themeColor="text1"/>
          <w:szCs w:val="24"/>
        </w:rPr>
        <w:t>s</w:t>
      </w:r>
      <w:r w:rsidRPr="00BA451B">
        <w:rPr>
          <w:rFonts w:cs="Times New Roman"/>
          <w:color w:val="000000" w:themeColor="text1"/>
          <w:szCs w:val="24"/>
        </w:rPr>
        <w:t xml:space="preserve"> research methodology used for selection, design,</w:t>
      </w:r>
      <w:r>
        <w:rPr>
          <w:rFonts w:cs="Times New Roman"/>
          <w:color w:val="000000" w:themeColor="text1"/>
          <w:szCs w:val="24"/>
        </w:rPr>
        <w:t xml:space="preserve"> and</w:t>
      </w:r>
      <w:r w:rsidRPr="00BA451B">
        <w:rPr>
          <w:rFonts w:cs="Times New Roman"/>
          <w:color w:val="000000" w:themeColor="text1"/>
          <w:szCs w:val="24"/>
        </w:rPr>
        <w:t xml:space="preserve"> data analysis. Chapter </w:t>
      </w:r>
      <w:r w:rsidR="0049161A">
        <w:rPr>
          <w:rFonts w:cs="Times New Roman"/>
          <w:color w:val="000000" w:themeColor="text1"/>
          <w:szCs w:val="24"/>
        </w:rPr>
        <w:t>4</w:t>
      </w:r>
      <w:r w:rsidRPr="00BA451B">
        <w:rPr>
          <w:rFonts w:cs="Times New Roman"/>
          <w:color w:val="000000" w:themeColor="text1"/>
          <w:szCs w:val="24"/>
        </w:rPr>
        <w:t xml:space="preserve"> </w:t>
      </w:r>
      <w:r w:rsidR="00443EF6" w:rsidRPr="00BA451B">
        <w:rPr>
          <w:rFonts w:cs="Times New Roman"/>
          <w:color w:val="000000" w:themeColor="text1"/>
          <w:szCs w:val="24"/>
        </w:rPr>
        <w:t>consist</w:t>
      </w:r>
      <w:r w:rsidR="00443EF6">
        <w:rPr>
          <w:rFonts w:cs="Times New Roman"/>
          <w:color w:val="000000" w:themeColor="text1"/>
          <w:szCs w:val="24"/>
        </w:rPr>
        <w:t>s</w:t>
      </w:r>
      <w:r w:rsidRPr="00BA451B">
        <w:rPr>
          <w:rFonts w:cs="Times New Roman"/>
          <w:color w:val="000000" w:themeColor="text1"/>
          <w:szCs w:val="24"/>
        </w:rPr>
        <w:t xml:space="preserve"> of data analysis and findings of the study. </w:t>
      </w:r>
      <w:r w:rsidRPr="00BA451B">
        <w:rPr>
          <w:rFonts w:cs="Times New Roman"/>
          <w:color w:val="000000" w:themeColor="text1"/>
          <w:szCs w:val="24"/>
        </w:rPr>
        <w:lastRenderedPageBreak/>
        <w:t>Chapter 5</w:t>
      </w:r>
      <w:r w:rsidR="00443EF6">
        <w:rPr>
          <w:rFonts w:cs="Times New Roman"/>
          <w:color w:val="000000" w:themeColor="text1"/>
          <w:szCs w:val="24"/>
        </w:rPr>
        <w:t xml:space="preserve"> offers</w:t>
      </w:r>
      <w:r w:rsidRPr="00BA451B">
        <w:rPr>
          <w:rFonts w:cs="Times New Roman"/>
          <w:color w:val="000000" w:themeColor="text1"/>
          <w:szCs w:val="24"/>
        </w:rPr>
        <w:t xml:space="preserve"> a summary of </w:t>
      </w:r>
      <w:r>
        <w:rPr>
          <w:rFonts w:cs="Times New Roman"/>
          <w:color w:val="000000" w:themeColor="text1"/>
          <w:szCs w:val="24"/>
        </w:rPr>
        <w:t>the findings, conclusions, recommendations, and suggestions for further research related</w:t>
      </w:r>
      <w:r w:rsidRPr="00BA451B">
        <w:rPr>
          <w:rFonts w:cs="Times New Roman"/>
          <w:color w:val="000000" w:themeColor="text1"/>
          <w:szCs w:val="24"/>
        </w:rPr>
        <w:t xml:space="preserve"> to dual enrollment and college completion</w:t>
      </w:r>
      <w:r w:rsidR="00BA451B" w:rsidRPr="00BA451B">
        <w:rPr>
          <w:rFonts w:cs="Times New Roman"/>
          <w:color w:val="000000" w:themeColor="text1"/>
          <w:szCs w:val="24"/>
        </w:rPr>
        <w:t xml:space="preserve">. </w:t>
      </w:r>
    </w:p>
    <w:bookmarkEnd w:id="12"/>
    <w:p w14:paraId="1A7B0F79" w14:textId="77777777" w:rsidR="00410075" w:rsidRPr="00112CD8" w:rsidRDefault="00410075" w:rsidP="004C5555">
      <w:pPr>
        <w:pStyle w:val="Caption"/>
        <w:rPr>
          <w:i w:val="0"/>
          <w:iCs w:val="0"/>
          <w:sz w:val="24"/>
          <w:szCs w:val="24"/>
        </w:rPr>
      </w:pPr>
      <w:r w:rsidRPr="00112CD8">
        <w:rPr>
          <w:i w:val="0"/>
          <w:sz w:val="24"/>
          <w:szCs w:val="24"/>
        </w:rPr>
        <w:br w:type="page"/>
      </w:r>
    </w:p>
    <w:p w14:paraId="6184D48B" w14:textId="16BF90E8" w:rsidR="00FB3ADC" w:rsidRPr="0053032E" w:rsidRDefault="00E14DEA" w:rsidP="0053032E">
      <w:pPr>
        <w:pStyle w:val="Heading2"/>
        <w:rPr>
          <w:rFonts w:cs="Times New Roman"/>
          <w:szCs w:val="24"/>
        </w:rPr>
      </w:pPr>
      <w:bookmarkStart w:id="30" w:name="_Toc224458889"/>
      <w:r>
        <w:lastRenderedPageBreak/>
        <w:t xml:space="preserve">Chapter 2. </w:t>
      </w:r>
      <w:r w:rsidR="00291504" w:rsidRPr="00291504">
        <w:rPr>
          <w:rFonts w:cs="Times New Roman"/>
          <w:szCs w:val="24"/>
        </w:rPr>
        <w:t>Review of Literature</w:t>
      </w:r>
      <w:bookmarkEnd w:id="30"/>
    </w:p>
    <w:p w14:paraId="1BF86495" w14:textId="7622C34F" w:rsidR="00734B0B" w:rsidRPr="00734B0B" w:rsidRDefault="00734B0B" w:rsidP="00734B0B">
      <w:pPr>
        <w:ind w:firstLine="720"/>
        <w:rPr>
          <w:rFonts w:cs="Times New Roman"/>
          <w:color w:val="000000" w:themeColor="text1"/>
          <w:szCs w:val="24"/>
        </w:rPr>
      </w:pPr>
      <w:r w:rsidRPr="00734B0B">
        <w:rPr>
          <w:rFonts w:cs="Times New Roman"/>
          <w:color w:val="000000" w:themeColor="text1"/>
          <w:szCs w:val="24"/>
        </w:rPr>
        <w:t>Dual enrollment</w:t>
      </w:r>
      <w:r w:rsidR="00C00EA3">
        <w:rPr>
          <w:rFonts w:cs="Times New Roman"/>
          <w:color w:val="000000" w:themeColor="text1"/>
          <w:szCs w:val="24"/>
        </w:rPr>
        <w:t xml:space="preserve"> programs, also referred to as dual credit or concurrent enrollment (Taylor et al., 2022), </w:t>
      </w:r>
      <w:r w:rsidRPr="00734B0B">
        <w:rPr>
          <w:rFonts w:cs="Times New Roman"/>
          <w:color w:val="000000" w:themeColor="text1"/>
          <w:szCs w:val="24"/>
        </w:rPr>
        <w:t>have emerged as a significant factor in promoting student success and accelerating pathways to college degree attainment</w:t>
      </w:r>
      <w:r w:rsidR="00B746B3">
        <w:rPr>
          <w:rFonts w:cs="Times New Roman"/>
          <w:color w:val="000000" w:themeColor="text1"/>
          <w:szCs w:val="24"/>
        </w:rPr>
        <w:t xml:space="preserve"> </w:t>
      </w:r>
      <w:r w:rsidR="00415A0E" w:rsidRPr="009278A4">
        <w:rPr>
          <w:rFonts w:eastAsia="Times New Roman" w:cs="Times New Roman"/>
          <w:color w:val="000000" w:themeColor="text1"/>
          <w:spacing w:val="3"/>
          <w:szCs w:val="24"/>
        </w:rPr>
        <w:t>(Liu et al., 2020; Moreno et al., 2021)</w:t>
      </w:r>
      <w:r w:rsidRPr="00734B0B">
        <w:rPr>
          <w:rFonts w:cs="Times New Roman"/>
          <w:color w:val="000000" w:themeColor="text1"/>
          <w:szCs w:val="24"/>
        </w:rPr>
        <w:t>. Research indicate</w:t>
      </w:r>
      <w:r w:rsidR="00584C56">
        <w:rPr>
          <w:rFonts w:cs="Times New Roman"/>
          <w:color w:val="000000" w:themeColor="text1"/>
          <w:szCs w:val="24"/>
        </w:rPr>
        <w:t>s</w:t>
      </w:r>
      <w:r w:rsidRPr="00734B0B">
        <w:rPr>
          <w:rFonts w:cs="Times New Roman"/>
          <w:color w:val="000000" w:themeColor="text1"/>
          <w:szCs w:val="24"/>
        </w:rPr>
        <w:t xml:space="preserve"> that dual enrollment enable</w:t>
      </w:r>
      <w:r w:rsidR="00A47ECC">
        <w:rPr>
          <w:rFonts w:cs="Times New Roman"/>
          <w:color w:val="000000" w:themeColor="text1"/>
          <w:szCs w:val="24"/>
        </w:rPr>
        <w:t>s</w:t>
      </w:r>
      <w:r w:rsidRPr="00734B0B">
        <w:rPr>
          <w:rFonts w:cs="Times New Roman"/>
          <w:color w:val="000000" w:themeColor="text1"/>
          <w:szCs w:val="24"/>
        </w:rPr>
        <w:t xml:space="preserve"> high school students to earn college credits early </w:t>
      </w:r>
      <w:r w:rsidR="00F87AB4">
        <w:rPr>
          <w:rFonts w:cs="Times New Roman"/>
          <w:color w:val="000000" w:themeColor="text1"/>
          <w:szCs w:val="24"/>
        </w:rPr>
        <w:t>and</w:t>
      </w:r>
      <w:r w:rsidRPr="00734B0B">
        <w:rPr>
          <w:rFonts w:cs="Times New Roman"/>
          <w:color w:val="000000" w:themeColor="text1"/>
          <w:szCs w:val="24"/>
        </w:rPr>
        <w:t xml:space="preserve"> also contribute</w:t>
      </w:r>
      <w:r w:rsidR="00F87AB4">
        <w:rPr>
          <w:rFonts w:cs="Times New Roman"/>
          <w:color w:val="000000" w:themeColor="text1"/>
          <w:szCs w:val="24"/>
        </w:rPr>
        <w:t>s</w:t>
      </w:r>
      <w:r w:rsidRPr="00734B0B">
        <w:rPr>
          <w:rFonts w:cs="Times New Roman"/>
          <w:color w:val="000000" w:themeColor="text1"/>
          <w:szCs w:val="24"/>
        </w:rPr>
        <w:t xml:space="preserve"> positively to their academic outcomes (Grub et al., 2017). For example, Grubb </w:t>
      </w:r>
      <w:r w:rsidR="00F87AB4">
        <w:rPr>
          <w:rFonts w:cs="Times New Roman"/>
          <w:color w:val="000000" w:themeColor="text1"/>
          <w:szCs w:val="24"/>
        </w:rPr>
        <w:t>et al. (2017)</w:t>
      </w:r>
      <w:r w:rsidRPr="00734B0B">
        <w:rPr>
          <w:rFonts w:cs="Times New Roman"/>
          <w:color w:val="000000" w:themeColor="text1"/>
          <w:szCs w:val="24"/>
        </w:rPr>
        <w:t xml:space="preserve"> found that dual enrollment at the community college level often reduce</w:t>
      </w:r>
      <w:r w:rsidR="00DE5F81">
        <w:rPr>
          <w:rFonts w:cs="Times New Roman"/>
          <w:color w:val="000000" w:themeColor="text1"/>
          <w:szCs w:val="24"/>
        </w:rPr>
        <w:t>d</w:t>
      </w:r>
      <w:r w:rsidRPr="00734B0B">
        <w:rPr>
          <w:rFonts w:cs="Times New Roman"/>
          <w:color w:val="000000" w:themeColor="text1"/>
          <w:szCs w:val="24"/>
        </w:rPr>
        <w:t xml:space="preserve"> the need for remedial coursework, subsequently supporting higher rates of timely degree completion. </w:t>
      </w:r>
      <w:r w:rsidRPr="007C7504">
        <w:rPr>
          <w:rFonts w:cs="Times New Roman"/>
          <w:color w:val="000000" w:themeColor="text1"/>
          <w:szCs w:val="24"/>
        </w:rPr>
        <w:t>With the growing state-level support for dual enrollment initiatives</w:t>
      </w:r>
      <w:r w:rsidR="00E45448" w:rsidRPr="007C7504">
        <w:rPr>
          <w:rFonts w:cs="Times New Roman"/>
          <w:color w:val="000000" w:themeColor="text1"/>
          <w:szCs w:val="24"/>
        </w:rPr>
        <w:t xml:space="preserve"> (</w:t>
      </w:r>
      <w:r w:rsidR="009178BE" w:rsidRPr="007C7504">
        <w:rPr>
          <w:rFonts w:cs="Times New Roman"/>
          <w:color w:val="000000" w:themeColor="text1"/>
          <w:szCs w:val="24"/>
        </w:rPr>
        <w:t>THEC, 2020)</w:t>
      </w:r>
      <w:r w:rsidR="00AF30B7" w:rsidRPr="007C7504">
        <w:rPr>
          <w:rFonts w:cs="Times New Roman"/>
          <w:color w:val="000000" w:themeColor="text1"/>
          <w:szCs w:val="24"/>
        </w:rPr>
        <w:t>,</w:t>
      </w:r>
      <w:r w:rsidRPr="007C7504">
        <w:rPr>
          <w:rFonts w:cs="Times New Roman"/>
          <w:color w:val="000000" w:themeColor="text1"/>
          <w:szCs w:val="24"/>
        </w:rPr>
        <w:t xml:space="preserve"> examining the impact of these programs on student outcomes is essential, particularly in relation to completion rates and time-to-degree metrics</w:t>
      </w:r>
      <w:r w:rsidR="00C623B9" w:rsidRPr="007C7504">
        <w:rPr>
          <w:rFonts w:cs="Times New Roman"/>
          <w:color w:val="000000" w:themeColor="text1"/>
          <w:szCs w:val="24"/>
        </w:rPr>
        <w:t xml:space="preserve"> (Schaller et al., 2025)</w:t>
      </w:r>
      <w:r w:rsidRPr="007C7504">
        <w:rPr>
          <w:rFonts w:cs="Times New Roman"/>
          <w:color w:val="000000" w:themeColor="text1"/>
          <w:szCs w:val="24"/>
        </w:rPr>
        <w:t>.</w:t>
      </w:r>
      <w:r w:rsidRPr="00734B0B">
        <w:rPr>
          <w:rFonts w:cs="Times New Roman"/>
          <w:color w:val="000000" w:themeColor="text1"/>
          <w:szCs w:val="24"/>
        </w:rPr>
        <w:t xml:space="preserve"> </w:t>
      </w:r>
    </w:p>
    <w:p w14:paraId="3E707080" w14:textId="0534C6FE" w:rsidR="00291504" w:rsidRDefault="00734B0B" w:rsidP="00734B0B">
      <w:pPr>
        <w:ind w:firstLine="720"/>
        <w:rPr>
          <w:rFonts w:cs="Times New Roman"/>
          <w:color w:val="000000" w:themeColor="text1"/>
          <w:szCs w:val="24"/>
        </w:rPr>
      </w:pPr>
      <w:r w:rsidRPr="00734B0B">
        <w:rPr>
          <w:rFonts w:cs="Times New Roman"/>
          <w:color w:val="000000" w:themeColor="text1"/>
          <w:szCs w:val="24"/>
        </w:rPr>
        <w:t xml:space="preserve">To </w:t>
      </w:r>
      <w:r w:rsidR="00F33732">
        <w:rPr>
          <w:rFonts w:cs="Times New Roman"/>
          <w:color w:val="000000" w:themeColor="text1"/>
          <w:szCs w:val="24"/>
        </w:rPr>
        <w:t>develop</w:t>
      </w:r>
      <w:r w:rsidRPr="00734B0B">
        <w:rPr>
          <w:rFonts w:cs="Times New Roman"/>
          <w:color w:val="000000" w:themeColor="text1"/>
          <w:szCs w:val="24"/>
        </w:rPr>
        <w:t xml:space="preserve"> a comprehensive understanding of the role of dual enrollment in higher education, </w:t>
      </w:r>
      <w:r w:rsidR="003F390D">
        <w:rPr>
          <w:rFonts w:cs="Times New Roman"/>
          <w:color w:val="000000" w:themeColor="text1"/>
          <w:szCs w:val="24"/>
        </w:rPr>
        <w:t>I</w:t>
      </w:r>
      <w:r w:rsidRPr="00734B0B">
        <w:rPr>
          <w:rFonts w:cs="Times New Roman"/>
          <w:color w:val="000000" w:themeColor="text1"/>
          <w:szCs w:val="24"/>
        </w:rPr>
        <w:t xml:space="preserve"> ex</w:t>
      </w:r>
      <w:r w:rsidR="00F33732">
        <w:rPr>
          <w:rFonts w:cs="Times New Roman"/>
          <w:color w:val="000000" w:themeColor="text1"/>
          <w:szCs w:val="24"/>
        </w:rPr>
        <w:t>amine</w:t>
      </w:r>
      <w:r w:rsidR="00584C56">
        <w:rPr>
          <w:rFonts w:cs="Times New Roman"/>
          <w:color w:val="000000" w:themeColor="text1"/>
          <w:szCs w:val="24"/>
        </w:rPr>
        <w:t>d</w:t>
      </w:r>
      <w:r w:rsidRPr="00734B0B">
        <w:rPr>
          <w:rFonts w:cs="Times New Roman"/>
          <w:color w:val="000000" w:themeColor="text1"/>
          <w:szCs w:val="24"/>
        </w:rPr>
        <w:t xml:space="preserve"> the historical evolution of dual enrollment</w:t>
      </w:r>
      <w:r w:rsidR="00C9027A">
        <w:rPr>
          <w:rFonts w:cs="Times New Roman"/>
          <w:color w:val="000000" w:themeColor="text1"/>
          <w:szCs w:val="24"/>
        </w:rPr>
        <w:t>, analyze</w:t>
      </w:r>
      <w:r w:rsidR="0071154F">
        <w:rPr>
          <w:rFonts w:cs="Times New Roman"/>
          <w:color w:val="000000" w:themeColor="text1"/>
          <w:szCs w:val="24"/>
        </w:rPr>
        <w:t>d</w:t>
      </w:r>
      <w:r w:rsidR="00C9027A">
        <w:rPr>
          <w:rFonts w:cs="Times New Roman"/>
          <w:color w:val="000000" w:themeColor="text1"/>
          <w:szCs w:val="24"/>
        </w:rPr>
        <w:t xml:space="preserve"> state policies and funding structures,</w:t>
      </w:r>
      <w:r w:rsidRPr="00734B0B">
        <w:rPr>
          <w:rFonts w:cs="Times New Roman"/>
          <w:color w:val="000000" w:themeColor="text1"/>
          <w:szCs w:val="24"/>
        </w:rPr>
        <w:t xml:space="preserve"> </w:t>
      </w:r>
      <w:r w:rsidR="000203D8">
        <w:rPr>
          <w:rFonts w:cs="Times New Roman"/>
          <w:color w:val="000000" w:themeColor="text1"/>
          <w:szCs w:val="24"/>
        </w:rPr>
        <w:t>and</w:t>
      </w:r>
      <w:r w:rsidRPr="00734B0B">
        <w:rPr>
          <w:rFonts w:cs="Times New Roman"/>
          <w:color w:val="000000" w:themeColor="text1"/>
          <w:szCs w:val="24"/>
        </w:rPr>
        <w:t xml:space="preserve"> </w:t>
      </w:r>
      <w:r w:rsidR="00C9027A">
        <w:rPr>
          <w:rFonts w:cs="Times New Roman"/>
          <w:color w:val="000000" w:themeColor="text1"/>
          <w:szCs w:val="24"/>
        </w:rPr>
        <w:t>present</w:t>
      </w:r>
      <w:r w:rsidR="0071154F">
        <w:rPr>
          <w:rFonts w:cs="Times New Roman"/>
          <w:color w:val="000000" w:themeColor="text1"/>
          <w:szCs w:val="24"/>
        </w:rPr>
        <w:t>ed</w:t>
      </w:r>
      <w:r w:rsidR="00C9027A">
        <w:rPr>
          <w:rFonts w:cs="Times New Roman"/>
          <w:color w:val="000000" w:themeColor="text1"/>
          <w:szCs w:val="24"/>
        </w:rPr>
        <w:t xml:space="preserve"> a case study of dual enrollment at a southeastern </w:t>
      </w:r>
      <w:r w:rsidRPr="00734B0B">
        <w:rPr>
          <w:rFonts w:cs="Times New Roman"/>
          <w:color w:val="000000" w:themeColor="text1"/>
          <w:szCs w:val="24"/>
        </w:rPr>
        <w:t xml:space="preserve">community college. </w:t>
      </w:r>
      <w:r w:rsidR="00131E59">
        <w:rPr>
          <w:rFonts w:cs="Times New Roman"/>
          <w:color w:val="000000" w:themeColor="text1"/>
          <w:szCs w:val="24"/>
        </w:rPr>
        <w:t>D</w:t>
      </w:r>
      <w:r w:rsidRPr="00734B0B">
        <w:rPr>
          <w:rFonts w:cs="Times New Roman"/>
          <w:color w:val="000000" w:themeColor="text1"/>
          <w:szCs w:val="24"/>
        </w:rPr>
        <w:t xml:space="preserve">ual enrollment </w:t>
      </w:r>
      <w:r w:rsidR="0071154F">
        <w:rPr>
          <w:rFonts w:cs="Times New Roman"/>
          <w:color w:val="000000" w:themeColor="text1"/>
          <w:szCs w:val="24"/>
        </w:rPr>
        <w:t>is</w:t>
      </w:r>
      <w:r w:rsidRPr="00734B0B">
        <w:rPr>
          <w:rFonts w:cs="Times New Roman"/>
          <w:color w:val="000000" w:themeColor="text1"/>
          <w:szCs w:val="24"/>
        </w:rPr>
        <w:t xml:space="preserve"> defined in terms of its benefits to both students and public education systems. Key research w</w:t>
      </w:r>
      <w:r w:rsidR="0071154F">
        <w:rPr>
          <w:rFonts w:cs="Times New Roman"/>
          <w:color w:val="000000" w:themeColor="text1"/>
          <w:szCs w:val="24"/>
        </w:rPr>
        <w:t>as</w:t>
      </w:r>
      <w:r w:rsidRPr="00734B0B">
        <w:rPr>
          <w:rFonts w:cs="Times New Roman"/>
          <w:color w:val="000000" w:themeColor="text1"/>
          <w:szCs w:val="24"/>
        </w:rPr>
        <w:t xml:space="preserve"> reviewed to examine success indicators, including the program’s impact on underrepresented student populations, and discuss</w:t>
      </w:r>
      <w:r w:rsidR="0071154F">
        <w:rPr>
          <w:rFonts w:cs="Times New Roman"/>
          <w:color w:val="000000" w:themeColor="text1"/>
          <w:szCs w:val="24"/>
        </w:rPr>
        <w:t>ed</w:t>
      </w:r>
      <w:r w:rsidRPr="00734B0B">
        <w:rPr>
          <w:rFonts w:cs="Times New Roman"/>
          <w:color w:val="000000" w:themeColor="text1"/>
          <w:szCs w:val="24"/>
        </w:rPr>
        <w:t xml:space="preserve"> both the advantages and criticisms of dual enrollment. This review address</w:t>
      </w:r>
      <w:r w:rsidR="0071154F">
        <w:rPr>
          <w:rFonts w:cs="Times New Roman"/>
          <w:color w:val="000000" w:themeColor="text1"/>
          <w:szCs w:val="24"/>
        </w:rPr>
        <w:t>ed</w:t>
      </w:r>
      <w:r w:rsidRPr="00734B0B">
        <w:rPr>
          <w:rFonts w:cs="Times New Roman"/>
          <w:color w:val="000000" w:themeColor="text1"/>
          <w:szCs w:val="24"/>
        </w:rPr>
        <w:t xml:space="preserve"> common barriers faced by students, </w:t>
      </w:r>
      <w:r w:rsidR="0071154F">
        <w:rPr>
          <w:rFonts w:cs="Times New Roman"/>
          <w:color w:val="000000" w:themeColor="text1"/>
          <w:szCs w:val="24"/>
        </w:rPr>
        <w:t xml:space="preserve">which </w:t>
      </w:r>
      <w:r w:rsidRPr="00734B0B">
        <w:rPr>
          <w:rFonts w:cs="Times New Roman"/>
          <w:color w:val="000000" w:themeColor="text1"/>
          <w:szCs w:val="24"/>
        </w:rPr>
        <w:t>offer</w:t>
      </w:r>
      <w:r w:rsidR="0071154F">
        <w:rPr>
          <w:rFonts w:cs="Times New Roman"/>
          <w:color w:val="000000" w:themeColor="text1"/>
          <w:szCs w:val="24"/>
        </w:rPr>
        <w:t>ed</w:t>
      </w:r>
      <w:r w:rsidRPr="00734B0B">
        <w:rPr>
          <w:rFonts w:cs="Times New Roman"/>
          <w:color w:val="000000" w:themeColor="text1"/>
          <w:szCs w:val="24"/>
        </w:rPr>
        <w:t xml:space="preserve"> a comprehensive perspective on the implications of dual enrollment for college readiness and degree attainment.</w:t>
      </w:r>
    </w:p>
    <w:p w14:paraId="7A98BB42" w14:textId="77777777" w:rsidR="00291504" w:rsidRDefault="003D062B" w:rsidP="003D062B">
      <w:pPr>
        <w:pStyle w:val="Heading3"/>
      </w:pPr>
      <w:bookmarkStart w:id="31" w:name="_Toc224458890"/>
      <w:r>
        <w:t>Conceptual Framework</w:t>
      </w:r>
      <w:bookmarkEnd w:id="31"/>
    </w:p>
    <w:p w14:paraId="2FAFC193" w14:textId="767DECDB" w:rsidR="00734B0B" w:rsidRPr="00734B0B" w:rsidRDefault="0052213E" w:rsidP="00421D70">
      <w:r>
        <w:tab/>
      </w:r>
      <w:r w:rsidR="00734B0B" w:rsidRPr="00734B0B">
        <w:t>This study is grounded in Schlossberg’s Transition Theory</w:t>
      </w:r>
      <w:r w:rsidR="00086837">
        <w:t xml:space="preserve"> (1981)</w:t>
      </w:r>
      <w:r w:rsidR="00734B0B" w:rsidRPr="00734B0B">
        <w:t xml:space="preserve">, which provides a valuable lens for understanding student experience as they move from high school to college. </w:t>
      </w:r>
      <w:r w:rsidR="00734B0B" w:rsidRPr="00734B0B">
        <w:lastRenderedPageBreak/>
        <w:t>This transition</w:t>
      </w:r>
      <w:r w:rsidR="003F390D">
        <w:t xml:space="preserve"> </w:t>
      </w:r>
      <w:r w:rsidR="00734B0B" w:rsidRPr="00734B0B">
        <w:t>often requires significant shifts in behavior, identity, and relationships. According to Schlossberg, a transition is an event or non-event that results in changed assumptions,</w:t>
      </w:r>
      <w:r w:rsidR="00FC01B1">
        <w:t xml:space="preserve"> relationships,</w:t>
      </w:r>
      <w:r w:rsidR="00734B0B" w:rsidRPr="00734B0B">
        <w:t xml:space="preserve"> and </w:t>
      </w:r>
      <w:r w:rsidR="00FC01B1">
        <w:t>behaviors</w:t>
      </w:r>
      <w:r w:rsidR="00734B0B" w:rsidRPr="00734B0B">
        <w:t>. The framework is especially useful for analyzing the complex and varied responses students have to this transition, which is not necessarily linear or uniform. Schlossberg (2008) identifie</w:t>
      </w:r>
      <w:r w:rsidR="0029703C">
        <w:t>d</w:t>
      </w:r>
      <w:r w:rsidR="00734B0B" w:rsidRPr="00734B0B">
        <w:t xml:space="preserve"> three types of transitions</w:t>
      </w:r>
      <w:r w:rsidR="00421D70">
        <w:t xml:space="preserve">: anticipated, unanticipated, and non-event. </w:t>
      </w:r>
      <w:r w:rsidR="00734B0B" w:rsidRPr="00734B0B">
        <w:t>Anticipated transitions</w:t>
      </w:r>
      <w:r w:rsidR="00571954">
        <w:t xml:space="preserve"> are</w:t>
      </w:r>
      <w:r w:rsidR="00734B0B" w:rsidRPr="00734B0B">
        <w:t xml:space="preserve"> </w:t>
      </w:r>
      <w:r w:rsidR="00571954">
        <w:t>events such</w:t>
      </w:r>
      <w:r w:rsidR="00734B0B" w:rsidRPr="00734B0B">
        <w:t xml:space="preserve"> as high school graduation and college enrollment, which are expected life events.</w:t>
      </w:r>
      <w:r w:rsidR="00421D70">
        <w:t xml:space="preserve"> </w:t>
      </w:r>
      <w:r w:rsidR="00734B0B" w:rsidRPr="00734B0B">
        <w:t>Unanticipated transitions are unexpected events, such as a family emergency or a financial barrier that disrupts academic plans.</w:t>
      </w:r>
      <w:r w:rsidR="00421D70">
        <w:t xml:space="preserve"> </w:t>
      </w:r>
      <w:r w:rsidR="00734B0B" w:rsidRPr="00734B0B">
        <w:t>Non-events refer to transitions that were expected to happen but did not</w:t>
      </w:r>
      <w:r w:rsidR="00AF30B7">
        <w:t xml:space="preserve"> happen</w:t>
      </w:r>
      <w:r w:rsidR="00421D70">
        <w:t>.</w:t>
      </w:r>
      <w:r w:rsidR="00734B0B" w:rsidRPr="00734B0B">
        <w:t xml:space="preserve"> </w:t>
      </w:r>
      <w:r w:rsidR="00421D70">
        <w:t>S</w:t>
      </w:r>
      <w:r w:rsidR="00734B0B" w:rsidRPr="00734B0B">
        <w:t>uch as not being accepted into a dream college or not qualifying for financial aid.</w:t>
      </w:r>
    </w:p>
    <w:p w14:paraId="3864FDC8" w14:textId="63B4A93C" w:rsidR="00A42D31" w:rsidRDefault="00734B0B" w:rsidP="00C36F50">
      <w:pPr>
        <w:ind w:firstLine="720"/>
      </w:pPr>
      <w:r w:rsidRPr="00734B0B">
        <w:t>While anticipated transitions, such as dual enrollment, may seem universally beneficial, the reality is that each student experiences and internalizes them differently</w:t>
      </w:r>
      <w:r w:rsidR="005B7DE3">
        <w:t xml:space="preserve"> (Bailey et al.</w:t>
      </w:r>
      <w:r w:rsidR="00D0050E">
        <w:t>, 2002</w:t>
      </w:r>
      <w:r w:rsidR="005B7DE3">
        <w:t xml:space="preserve">; </w:t>
      </w:r>
      <w:r w:rsidR="005B7DE3" w:rsidRPr="00D80DF3">
        <w:t>Henneberger et al.,</w:t>
      </w:r>
      <w:r w:rsidR="00D0050E" w:rsidRPr="00D80DF3">
        <w:t xml:space="preserve"> 2022)</w:t>
      </w:r>
      <w:r w:rsidRPr="00D80DF3">
        <w:t>.</w:t>
      </w:r>
      <w:r w:rsidRPr="00734B0B">
        <w:t xml:space="preserve"> As Schlossberg note</w:t>
      </w:r>
      <w:r w:rsidR="0029703C">
        <w:t>d</w:t>
      </w:r>
      <w:r w:rsidRPr="00734B0B">
        <w:t>, “A transition that is severe for one person may be relatively minor for another, depending on the degree to which it alters the person’s roles, relationships, routines, and assumptions” (Schlossberg, 2008, p. 33). This subjectivity underscores the importance of context in understanding transition. Moreover, Schlossberg’s theory emphasizes that transitions unfold over time and typically occur in three phases</w:t>
      </w:r>
      <w:r w:rsidR="009C4B98">
        <w:t xml:space="preserve"> identified as</w:t>
      </w:r>
      <w:r w:rsidR="00421D70">
        <w:t xml:space="preserve"> </w:t>
      </w:r>
      <w:r w:rsidR="00E0042A">
        <w:t>“</w:t>
      </w:r>
      <w:r w:rsidR="00421D70">
        <w:t>moving in</w:t>
      </w:r>
      <w:r w:rsidR="00E0042A">
        <w:t>”</w:t>
      </w:r>
      <w:r w:rsidR="00421D70">
        <w:t xml:space="preserve">, </w:t>
      </w:r>
      <w:r w:rsidR="007F1AF9">
        <w:t>“</w:t>
      </w:r>
      <w:r w:rsidR="00421D70">
        <w:t>moving through</w:t>
      </w:r>
      <w:r w:rsidR="007F1AF9">
        <w:t>”</w:t>
      </w:r>
      <w:r w:rsidR="00421D70">
        <w:t xml:space="preserve">, and </w:t>
      </w:r>
      <w:r w:rsidR="007F1AF9">
        <w:t>“</w:t>
      </w:r>
      <w:r w:rsidR="00421D70">
        <w:t>moving out</w:t>
      </w:r>
      <w:r w:rsidR="00A04809">
        <w:t>.</w:t>
      </w:r>
      <w:r w:rsidR="007F1AF9">
        <w:t>”</w:t>
      </w:r>
      <w:r w:rsidR="00421D70">
        <w:t xml:space="preserve"> The </w:t>
      </w:r>
      <w:r w:rsidR="00683D57">
        <w:t>“</w:t>
      </w:r>
      <w:r w:rsidR="009C4B98">
        <w:t>m</w:t>
      </w:r>
      <w:r w:rsidRPr="00734B0B">
        <w:t>oving in</w:t>
      </w:r>
      <w:r w:rsidR="00683D57">
        <w:t>”</w:t>
      </w:r>
      <w:r w:rsidR="00421D70">
        <w:t xml:space="preserve"> phase is</w:t>
      </w:r>
      <w:r w:rsidRPr="00734B0B">
        <w:t xml:space="preserve"> when individuals first experience the change and begin to assess its impact</w:t>
      </w:r>
      <w:r w:rsidR="00C34BAD">
        <w:t xml:space="preserve"> (</w:t>
      </w:r>
      <w:bookmarkStart w:id="32" w:name="_Hlk204077049"/>
      <w:r w:rsidR="00C34BAD">
        <w:t>Anderson et al., 2012</w:t>
      </w:r>
      <w:r w:rsidR="0029703C">
        <w:t xml:space="preserve">; </w:t>
      </w:r>
      <w:r w:rsidR="0029703C" w:rsidRPr="00734B0B">
        <w:t>Schlossberg</w:t>
      </w:r>
      <w:r w:rsidR="0029703C">
        <w:t xml:space="preserve">, </w:t>
      </w:r>
      <w:r w:rsidR="0029703C" w:rsidRPr="00734B0B">
        <w:t>2008</w:t>
      </w:r>
      <w:bookmarkEnd w:id="32"/>
      <w:r w:rsidR="00C34BAD">
        <w:t>)</w:t>
      </w:r>
      <w:r w:rsidRPr="00734B0B">
        <w:t xml:space="preserve">. </w:t>
      </w:r>
      <w:r w:rsidR="008E3ACB">
        <w:t>This phase could represent d</w:t>
      </w:r>
      <w:r w:rsidR="00DE3E2F">
        <w:t>ual enrollment students</w:t>
      </w:r>
      <w:r w:rsidR="008E3ACB">
        <w:t>’</w:t>
      </w:r>
      <w:r w:rsidR="00DE3E2F">
        <w:t xml:space="preserve"> transition from full</w:t>
      </w:r>
      <w:r w:rsidR="00F33732">
        <w:t>-</w:t>
      </w:r>
      <w:r w:rsidR="00DE3E2F">
        <w:t>time high school student</w:t>
      </w:r>
      <w:r w:rsidR="00683D57">
        <w:t>s</w:t>
      </w:r>
      <w:r w:rsidR="00DE3E2F">
        <w:t xml:space="preserve"> to dual enrollment student</w:t>
      </w:r>
      <w:r w:rsidR="00683D57">
        <w:t>s</w:t>
      </w:r>
      <w:r w:rsidR="00DE3E2F">
        <w:t xml:space="preserve">. The “moving in” </w:t>
      </w:r>
      <w:r w:rsidR="00A27EEA">
        <w:t xml:space="preserve">phase for dual enrollment students </w:t>
      </w:r>
      <w:r w:rsidR="00C119CA">
        <w:t>involves</w:t>
      </w:r>
      <w:r w:rsidR="00DE3E2F">
        <w:t xml:space="preserve"> “learning the ropes” </w:t>
      </w:r>
      <w:r w:rsidR="0022110B">
        <w:t xml:space="preserve">of </w:t>
      </w:r>
      <w:r w:rsidR="00C119CA">
        <w:t>advising, college course rigors, course expectations, and the college environme</w:t>
      </w:r>
      <w:r w:rsidR="00C119CA" w:rsidRPr="00B0315A">
        <w:t>nt</w:t>
      </w:r>
      <w:r w:rsidR="00B0315A" w:rsidRPr="00B0315A">
        <w:t xml:space="preserve"> </w:t>
      </w:r>
      <w:r w:rsidR="00380DC4" w:rsidRPr="00B0315A">
        <w:t>(</w:t>
      </w:r>
      <w:r w:rsidR="00B0315A" w:rsidRPr="00B0315A">
        <w:t>Bailey et al.</w:t>
      </w:r>
      <w:r w:rsidR="00A14490">
        <w:t xml:space="preserve">, </w:t>
      </w:r>
      <w:r w:rsidR="00B0315A" w:rsidRPr="00B0315A">
        <w:t>2002; Conley, 2012; Lile et al., 2018</w:t>
      </w:r>
      <w:r w:rsidR="00380DC4" w:rsidRPr="00B0315A">
        <w:t>)</w:t>
      </w:r>
      <w:r w:rsidR="00C119CA" w:rsidRPr="00B0315A">
        <w:t>.</w:t>
      </w:r>
      <w:r w:rsidR="00DE3E2F">
        <w:t xml:space="preserve">  </w:t>
      </w:r>
      <w:r w:rsidR="00C119CA">
        <w:lastRenderedPageBreak/>
        <w:t>“</w:t>
      </w:r>
      <w:r w:rsidRPr="00734B0B">
        <w:t>Moving through</w:t>
      </w:r>
      <w:r w:rsidR="00C119CA">
        <w:t>”</w:t>
      </w:r>
      <w:r w:rsidR="00421D70">
        <w:t xml:space="preserve"> is</w:t>
      </w:r>
      <w:r w:rsidRPr="00734B0B">
        <w:t xml:space="preserve"> a period often marked by confusion, disruption, and emotional vulnerability</w:t>
      </w:r>
      <w:r w:rsidR="00C34BAD">
        <w:t xml:space="preserve"> (</w:t>
      </w:r>
      <w:r w:rsidR="0029703C">
        <w:t xml:space="preserve">Anderson et al., 2012; </w:t>
      </w:r>
      <w:r w:rsidR="0029703C" w:rsidRPr="00734B0B">
        <w:t>Schlossberg</w:t>
      </w:r>
      <w:r w:rsidR="0029703C">
        <w:t xml:space="preserve">, </w:t>
      </w:r>
      <w:r w:rsidR="0029703C" w:rsidRPr="00734B0B">
        <w:t>2008</w:t>
      </w:r>
      <w:r w:rsidR="00C34BAD">
        <w:t>)</w:t>
      </w:r>
      <w:r w:rsidRPr="00734B0B">
        <w:t>.</w:t>
      </w:r>
      <w:r w:rsidR="00421D70">
        <w:t xml:space="preserve"> </w:t>
      </w:r>
      <w:r w:rsidR="00C119CA">
        <w:t>D</w:t>
      </w:r>
      <w:r w:rsidR="00D65848">
        <w:t>ual enrollment</w:t>
      </w:r>
      <w:r w:rsidR="00C119CA">
        <w:t xml:space="preserve"> students participate in their college</w:t>
      </w:r>
      <w:r w:rsidR="00F33732">
        <w:t>-</w:t>
      </w:r>
      <w:r w:rsidR="00C119CA">
        <w:t xml:space="preserve">level work while still juggling high school schedules. </w:t>
      </w:r>
      <w:r w:rsidR="00421D70">
        <w:t>The final phase, m</w:t>
      </w:r>
      <w:r w:rsidRPr="00734B0B">
        <w:t xml:space="preserve">oving out, </w:t>
      </w:r>
      <w:r w:rsidR="00421D70">
        <w:t xml:space="preserve">is </w:t>
      </w:r>
      <w:r w:rsidRPr="00734B0B">
        <w:t>when individuals have adjusted</w:t>
      </w:r>
      <w:r w:rsidR="00683D57">
        <w:t>,</w:t>
      </w:r>
      <w:r w:rsidRPr="00734B0B">
        <w:t xml:space="preserve"> and the transition becomes integrated into their lives</w:t>
      </w:r>
      <w:r w:rsidR="00C34BAD">
        <w:t xml:space="preserve"> (</w:t>
      </w:r>
      <w:r w:rsidR="0029703C">
        <w:t xml:space="preserve">Anderson et al., 2012; </w:t>
      </w:r>
      <w:r w:rsidR="0029703C" w:rsidRPr="00734B0B">
        <w:t>Schlossberg</w:t>
      </w:r>
      <w:r w:rsidR="0029703C">
        <w:t xml:space="preserve">, </w:t>
      </w:r>
      <w:r w:rsidR="0029703C" w:rsidRPr="00734B0B">
        <w:t>2008</w:t>
      </w:r>
      <w:r w:rsidR="00C34BAD">
        <w:t>)</w:t>
      </w:r>
      <w:r w:rsidRPr="00734B0B">
        <w:t xml:space="preserve">. </w:t>
      </w:r>
      <w:r w:rsidR="00C119CA">
        <w:t xml:space="preserve">For dual enrollment students, this can be the completion of their dual enrollment courses and the transition to a full-time college student. </w:t>
      </w:r>
      <w:r w:rsidR="00C36F50" w:rsidRPr="00734B0B">
        <w:t>This process can be especially complex for students engaged in dual enrollment. While they may be considered “college students” on paper, they often still identify as high school students socially and emotionally. For many reasons, this creates a disorienting middle space that requires strong support and effective coping mechanisms.</w:t>
      </w:r>
      <w:r w:rsidR="00380DC4">
        <w:t xml:space="preserve"> </w:t>
      </w:r>
    </w:p>
    <w:p w14:paraId="30B23FE6" w14:textId="63A05D7B" w:rsidR="00734B0B" w:rsidRPr="00734B0B" w:rsidRDefault="00B456A0" w:rsidP="00C36F50">
      <w:pPr>
        <w:ind w:firstLine="720"/>
      </w:pPr>
      <w:r>
        <w:t>A</w:t>
      </w:r>
      <w:r w:rsidR="00F400A7">
        <w:t xml:space="preserve"> successful transition from high school into college or the workfor</w:t>
      </w:r>
      <w:r>
        <w:t>ce empowers a successful transition to adulthood</w:t>
      </w:r>
      <w:r w:rsidR="00E77D3A">
        <w:t xml:space="preserve"> </w:t>
      </w:r>
      <w:r w:rsidR="00380DC4" w:rsidRPr="00B456A0">
        <w:t xml:space="preserve">(Henneberger et al., </w:t>
      </w:r>
      <w:r w:rsidR="00380DC4" w:rsidRPr="00DB4B11">
        <w:t>2022)</w:t>
      </w:r>
      <w:r w:rsidR="00F400A7" w:rsidRPr="00DB4B11">
        <w:t>.</w:t>
      </w:r>
      <w:r w:rsidR="00C63FCA" w:rsidRPr="00F400A7">
        <w:t xml:space="preserve"> </w:t>
      </w:r>
      <w:r w:rsidR="00F400A7" w:rsidRPr="00F400A7">
        <w:t>Research has shown that d</w:t>
      </w:r>
      <w:r w:rsidR="00C63FCA" w:rsidRPr="00F400A7">
        <w:t>ual enrollment</w:t>
      </w:r>
      <w:r w:rsidR="00CA2305" w:rsidRPr="00F400A7">
        <w:t xml:space="preserve"> </w:t>
      </w:r>
      <w:r w:rsidR="00F400A7" w:rsidRPr="00F400A7">
        <w:t>can</w:t>
      </w:r>
      <w:r w:rsidR="00CA2305" w:rsidRPr="00F400A7">
        <w:t xml:space="preserve"> help</w:t>
      </w:r>
      <w:r w:rsidR="00C63FCA" w:rsidRPr="00F400A7">
        <w:t xml:space="preserve"> ease the transition to college </w:t>
      </w:r>
      <w:r w:rsidR="00CA2305" w:rsidRPr="00F400A7">
        <w:t xml:space="preserve">by helping </w:t>
      </w:r>
      <w:r w:rsidR="00C63FCA" w:rsidRPr="00F400A7">
        <w:t>students fe</w:t>
      </w:r>
      <w:r w:rsidR="00CA2305" w:rsidRPr="00F400A7">
        <w:t>el</w:t>
      </w:r>
      <w:r w:rsidR="00C63FCA" w:rsidRPr="00F400A7">
        <w:t xml:space="preserve"> part of the college</w:t>
      </w:r>
      <w:r w:rsidR="00F400A7" w:rsidRPr="00F400A7">
        <w:t>, learn the structure of college coursework, and understand the role of a college student</w:t>
      </w:r>
      <w:r w:rsidR="00C63FCA" w:rsidRPr="00F400A7">
        <w:t xml:space="preserve"> (Lile et al., 2018).</w:t>
      </w:r>
      <w:r w:rsidR="00C63FCA">
        <w:t xml:space="preserve"> </w:t>
      </w:r>
      <w:r w:rsidR="00CA25F7">
        <w:t>T</w:t>
      </w:r>
      <w:r w:rsidR="00C119CA">
        <w:t xml:space="preserve">he </w:t>
      </w:r>
      <w:r w:rsidR="00DD2723">
        <w:t>work</w:t>
      </w:r>
      <w:r w:rsidR="00C119CA">
        <w:t xml:space="preserve"> presented by Schlossberg</w:t>
      </w:r>
      <w:r w:rsidR="0029703C">
        <w:t xml:space="preserve"> (2008)</w:t>
      </w:r>
      <w:r w:rsidR="00C119CA">
        <w:t xml:space="preserve"> can provide </w:t>
      </w:r>
      <w:r w:rsidR="000937D8">
        <w:t xml:space="preserve">valuable insight </w:t>
      </w:r>
      <w:r w:rsidR="00F33732">
        <w:t xml:space="preserve">into </w:t>
      </w:r>
      <w:r w:rsidR="000937D8">
        <w:t>student transition</w:t>
      </w:r>
      <w:r w:rsidR="000E3AD3">
        <w:t xml:space="preserve"> and </w:t>
      </w:r>
      <w:r w:rsidR="00646A38">
        <w:t>adaptability</w:t>
      </w:r>
      <w:r w:rsidR="00C119CA">
        <w:t xml:space="preserve"> for institutions, educators, and counselors to incorporate the necessary support strategies to aid dual enrollment students through transitions for student success. </w:t>
      </w:r>
    </w:p>
    <w:p w14:paraId="5000B410" w14:textId="791B06BB" w:rsidR="00734B0B" w:rsidRPr="00734B0B" w:rsidRDefault="00734B0B" w:rsidP="00421D70">
      <w:pPr>
        <w:ind w:firstLine="720"/>
      </w:pPr>
      <w:r w:rsidRPr="00734B0B">
        <w:t>Schlossberg (200</w:t>
      </w:r>
      <w:r w:rsidR="00286BDB">
        <w:t>8</w:t>
      </w:r>
      <w:r w:rsidRPr="00734B0B">
        <w:t>) also highlight</w:t>
      </w:r>
      <w:r w:rsidR="0029703C">
        <w:t>ed</w:t>
      </w:r>
      <w:r w:rsidRPr="00734B0B">
        <w:t xml:space="preserve"> four key factors, known as the 4 S’s, that influence an individual’s ability to cope with transitions:</w:t>
      </w:r>
      <w:r w:rsidR="00421D70">
        <w:t xml:space="preserve"> </w:t>
      </w:r>
      <w:r w:rsidR="00421D70" w:rsidRPr="006D2975">
        <w:rPr>
          <w:i/>
        </w:rPr>
        <w:t>Situation</w:t>
      </w:r>
      <w:r w:rsidR="00421D70">
        <w:t xml:space="preserve">, </w:t>
      </w:r>
      <w:r w:rsidR="00421D70" w:rsidRPr="006D2975">
        <w:rPr>
          <w:i/>
        </w:rPr>
        <w:t>Self</w:t>
      </w:r>
      <w:r w:rsidR="00421D70">
        <w:t xml:space="preserve">, </w:t>
      </w:r>
      <w:r w:rsidR="00421D70" w:rsidRPr="006D2975">
        <w:rPr>
          <w:i/>
        </w:rPr>
        <w:t>Support</w:t>
      </w:r>
      <w:r w:rsidR="00421D70">
        <w:t xml:space="preserve">, and </w:t>
      </w:r>
      <w:r w:rsidR="00421D70" w:rsidRPr="006D2975">
        <w:rPr>
          <w:i/>
        </w:rPr>
        <w:t>Strategies</w:t>
      </w:r>
      <w:r w:rsidR="00421D70">
        <w:t xml:space="preserve">. </w:t>
      </w:r>
      <w:r w:rsidR="00544E0D">
        <w:t>Anderson</w:t>
      </w:r>
      <w:r w:rsidR="002F1AF8">
        <w:t xml:space="preserve"> et al.</w:t>
      </w:r>
      <w:r w:rsidR="00544E0D">
        <w:t xml:space="preserve"> (2012) presented the transition framework </w:t>
      </w:r>
      <w:r w:rsidR="00840F36">
        <w:t>as</w:t>
      </w:r>
      <w:r w:rsidR="00544E0D">
        <w:t xml:space="preserve"> </w:t>
      </w:r>
      <w:r w:rsidR="001B156B">
        <w:t xml:space="preserve">a </w:t>
      </w:r>
      <w:r w:rsidR="00544E0D">
        <w:t>desig</w:t>
      </w:r>
      <w:r w:rsidR="00240611">
        <w:t>n for</w:t>
      </w:r>
      <w:r w:rsidR="00544E0D">
        <w:t xml:space="preserve"> the human capacity to cope with change. </w:t>
      </w:r>
      <w:r w:rsidRPr="006D2975">
        <w:rPr>
          <w:i/>
        </w:rPr>
        <w:t>Situation</w:t>
      </w:r>
      <w:r w:rsidR="00421D70" w:rsidRPr="006D2975">
        <w:rPr>
          <w:i/>
        </w:rPr>
        <w:t xml:space="preserve"> </w:t>
      </w:r>
      <w:r w:rsidR="00421D70">
        <w:t>includes w</w:t>
      </w:r>
      <w:r w:rsidRPr="00734B0B">
        <w:t>hat is happening, when</w:t>
      </w:r>
      <w:r w:rsidR="009C4B98">
        <w:t xml:space="preserve"> it is happening</w:t>
      </w:r>
      <w:r w:rsidRPr="00734B0B">
        <w:t>, and how the person perceives it.</w:t>
      </w:r>
      <w:r w:rsidR="003312EA">
        <w:t xml:space="preserve"> This could help identify what triggered the transition.</w:t>
      </w:r>
      <w:r w:rsidR="00240611">
        <w:t xml:space="preserve"> </w:t>
      </w:r>
      <w:r w:rsidR="00176983">
        <w:t>A trigger can be external with an internal consequence (</w:t>
      </w:r>
      <w:r w:rsidR="0029703C">
        <w:t xml:space="preserve">Anderson et al., 2012; </w:t>
      </w:r>
      <w:r w:rsidR="0029703C" w:rsidRPr="00734B0B">
        <w:t>Schlossberg</w:t>
      </w:r>
      <w:r w:rsidR="0029703C">
        <w:t xml:space="preserve">, </w:t>
      </w:r>
      <w:r w:rsidR="0029703C" w:rsidRPr="00734B0B">
        <w:t>2008</w:t>
      </w:r>
      <w:r w:rsidR="00176983">
        <w:t xml:space="preserve">). A dual enrollment student </w:t>
      </w:r>
      <w:r w:rsidR="00176983">
        <w:lastRenderedPageBreak/>
        <w:t>taking</w:t>
      </w:r>
      <w:r w:rsidR="008F49C0">
        <w:t xml:space="preserve"> a</w:t>
      </w:r>
      <w:r w:rsidR="00176983">
        <w:t xml:space="preserve"> college</w:t>
      </w:r>
      <w:r w:rsidR="00F33732">
        <w:t>-level</w:t>
      </w:r>
      <w:r w:rsidR="00176983">
        <w:t xml:space="preserve"> course can be an external trigger, with the internal consequence of the awareness that their time in high school is almost over. </w:t>
      </w:r>
      <w:r w:rsidR="00240611">
        <w:t>Anderson</w:t>
      </w:r>
      <w:r w:rsidR="00A97448">
        <w:t xml:space="preserve"> et al. </w:t>
      </w:r>
      <w:r w:rsidR="00240611">
        <w:t xml:space="preserve">(2012) noted </w:t>
      </w:r>
      <w:r w:rsidR="008F49C0">
        <w:t>th</w:t>
      </w:r>
      <w:r w:rsidR="00FE4C32">
        <w:t xml:space="preserve">at </w:t>
      </w:r>
      <w:r w:rsidR="00240611">
        <w:t xml:space="preserve">with the </w:t>
      </w:r>
      <w:r w:rsidR="00240611" w:rsidRPr="00240611">
        <w:rPr>
          <w:i/>
        </w:rPr>
        <w:t>Situation</w:t>
      </w:r>
      <w:r w:rsidR="00240611">
        <w:t xml:space="preserve"> variable, time of transition with multiple stressors is a different transition than one change without multiple stressors. </w:t>
      </w:r>
      <w:r w:rsidR="00A954F7" w:rsidRPr="00240611">
        <w:t>Dual enrollment could be a significant change for high school students. Change in social circles, adjustment to college experience, and rigor of academi</w:t>
      </w:r>
      <w:r w:rsidR="00424CED">
        <w:t>a</w:t>
      </w:r>
      <w:r w:rsidR="00A954F7" w:rsidRPr="00240611">
        <w:t xml:space="preserve"> could </w:t>
      </w:r>
      <w:r w:rsidR="004F7521">
        <w:t xml:space="preserve">make it </w:t>
      </w:r>
      <w:r w:rsidR="00A954F7" w:rsidRPr="00240611">
        <w:t xml:space="preserve">difficult to </w:t>
      </w:r>
      <w:r w:rsidR="00240611" w:rsidRPr="00240611">
        <w:t>find a sense of equilibrium</w:t>
      </w:r>
      <w:r w:rsidR="00A954F7" w:rsidRPr="00240611">
        <w:t xml:space="preserve"> for most </w:t>
      </w:r>
      <w:r w:rsidR="00A954F7" w:rsidRPr="00584C56">
        <w:t>students.</w:t>
      </w:r>
      <w:r w:rsidR="00577A84" w:rsidRPr="00584C56">
        <w:t xml:space="preserve"> </w:t>
      </w:r>
      <w:r w:rsidR="00A954F7" w:rsidRPr="00584C56">
        <w:t>Educators and</w:t>
      </w:r>
      <w:r w:rsidR="00A954F7" w:rsidRPr="00240611">
        <w:t xml:space="preserve"> counselors could recognize triggers and transitions and how the student is affected by the change to provide support.</w:t>
      </w:r>
      <w:r w:rsidR="00A954F7" w:rsidRPr="00734B0B">
        <w:t xml:space="preserve"> </w:t>
      </w:r>
      <w:r w:rsidRPr="006D2975">
        <w:rPr>
          <w:i/>
        </w:rPr>
        <w:t>Self</w:t>
      </w:r>
      <w:r w:rsidR="00421D70">
        <w:t xml:space="preserve"> represents t</w:t>
      </w:r>
      <w:r w:rsidRPr="00734B0B">
        <w:t>he individual’s personal characteristics and psychological resources.</w:t>
      </w:r>
      <w:r w:rsidR="00421D70">
        <w:t xml:space="preserve"> </w:t>
      </w:r>
      <w:r w:rsidR="003676E9">
        <w:t xml:space="preserve">Gender, age, socioeconomic status, </w:t>
      </w:r>
      <w:r w:rsidR="008125E2">
        <w:t xml:space="preserve">and </w:t>
      </w:r>
      <w:r w:rsidR="003676E9">
        <w:t xml:space="preserve">ethnicity are a few examples of an individual’s personal and demographic characteristics </w:t>
      </w:r>
      <w:r w:rsidR="008125E2">
        <w:t xml:space="preserve">that could contribute to how a person handles themselves through a transition </w:t>
      </w:r>
      <w:r w:rsidR="003676E9">
        <w:t>(Anderson</w:t>
      </w:r>
      <w:r w:rsidR="004C5340">
        <w:t xml:space="preserve"> et al.</w:t>
      </w:r>
      <w:r w:rsidR="003676E9">
        <w:t xml:space="preserve">, 2012). </w:t>
      </w:r>
      <w:r w:rsidR="00646A38">
        <w:t xml:space="preserve">Bhat and Stevens (2021) </w:t>
      </w:r>
      <w:r w:rsidR="0029703C">
        <w:t>declared</w:t>
      </w:r>
      <w:r w:rsidR="00646A38">
        <w:t xml:space="preserve"> that many high school students may not see the value of school, especially those who experience systemic barriers due to lower socioeconomic status, race, or disability. Such</w:t>
      </w:r>
      <w:r w:rsidR="00A954F7">
        <w:t xml:space="preserve"> factors</w:t>
      </w:r>
      <w:r w:rsidR="00DC0451">
        <w:t xml:space="preserve"> </w:t>
      </w:r>
      <w:r w:rsidR="003676E9">
        <w:t xml:space="preserve">may affect </w:t>
      </w:r>
      <w:r w:rsidR="00DC0451">
        <w:t>a student</w:t>
      </w:r>
      <w:r w:rsidR="00646A38">
        <w:t>’s</w:t>
      </w:r>
      <w:r w:rsidR="00A954F7">
        <w:t xml:space="preserve"> academic skill, self-confidence, and ability to handle the potential challenges experienced in a college environment. </w:t>
      </w:r>
      <w:r w:rsidR="0091548A">
        <w:t>Each student is unique in terms of personality and life issues</w:t>
      </w:r>
      <w:r w:rsidR="0091548A" w:rsidRPr="0091548A">
        <w:t xml:space="preserve"> </w:t>
      </w:r>
      <w:r w:rsidR="0091548A">
        <w:t>(</w:t>
      </w:r>
      <w:r w:rsidR="0029703C">
        <w:t xml:space="preserve">Anderson et al., 2012; </w:t>
      </w:r>
      <w:r w:rsidR="0029703C" w:rsidRPr="00734B0B">
        <w:t>Schlossberg</w:t>
      </w:r>
      <w:r w:rsidR="0029703C">
        <w:t xml:space="preserve">, </w:t>
      </w:r>
      <w:r w:rsidR="0029703C" w:rsidRPr="00734B0B">
        <w:t>2008</w:t>
      </w:r>
      <w:r w:rsidR="0091548A">
        <w:t>)</w:t>
      </w:r>
      <w:r w:rsidR="00FE339A">
        <w:t>.</w:t>
      </w:r>
      <w:r w:rsidR="00176983">
        <w:t xml:space="preserve"> Educators and counselors must recognize transition on an individual basis to ease the transition of dual </w:t>
      </w:r>
      <w:r w:rsidR="00176983" w:rsidRPr="00AE2863">
        <w:t>enrollment students to the rigors of higher education at an earlier age</w:t>
      </w:r>
      <w:r w:rsidR="0091548A" w:rsidRPr="00AE2863">
        <w:t xml:space="preserve">.  </w:t>
      </w:r>
      <w:r w:rsidRPr="00AE2863">
        <w:rPr>
          <w:i/>
        </w:rPr>
        <w:t>Support</w:t>
      </w:r>
      <w:r w:rsidR="00421D70" w:rsidRPr="00AE2863">
        <w:t xml:space="preserve"> includes</w:t>
      </w:r>
      <w:r w:rsidRPr="00AE2863">
        <w:t xml:space="preserve"> </w:t>
      </w:r>
      <w:r w:rsidR="00421D70" w:rsidRPr="00AE2863">
        <w:t>t</w:t>
      </w:r>
      <w:r w:rsidRPr="00AE2863">
        <w:t>he types of support available from family, friends, and institutions.</w:t>
      </w:r>
      <w:r w:rsidR="00421D70" w:rsidRPr="00AE2863">
        <w:t xml:space="preserve"> </w:t>
      </w:r>
      <w:r w:rsidR="001D1577" w:rsidRPr="00AE2863">
        <w:t>“Social support is often the key to handling stress,” (</w:t>
      </w:r>
      <w:r w:rsidR="0029703C" w:rsidRPr="00AE2863">
        <w:t>Anderson</w:t>
      </w:r>
      <w:r w:rsidR="0029703C">
        <w:t xml:space="preserve"> et al.</w:t>
      </w:r>
      <w:r w:rsidR="0029703C" w:rsidRPr="00AE2863">
        <w:t>, 2012, p.</w:t>
      </w:r>
      <w:r w:rsidR="0029703C">
        <w:t xml:space="preserve"> </w:t>
      </w:r>
      <w:r w:rsidR="0029703C" w:rsidRPr="00AE2863">
        <w:t>60</w:t>
      </w:r>
      <w:r w:rsidR="0029703C">
        <w:t xml:space="preserve">; </w:t>
      </w:r>
      <w:r w:rsidR="001D1577" w:rsidRPr="00AE2863">
        <w:t>Schlossberg, 2008).</w:t>
      </w:r>
      <w:r w:rsidR="003201A7">
        <w:t xml:space="preserve"> </w:t>
      </w:r>
      <w:r w:rsidR="00A92C48" w:rsidRPr="00AE2863">
        <w:t>Dual enrollment students could benefit greatly from support systems that are effective and accessible through their transition to college courses through the institution, communities, family, friends, and counselors.</w:t>
      </w:r>
      <w:r w:rsidR="00D43740">
        <w:t xml:space="preserve"> </w:t>
      </w:r>
      <w:r w:rsidR="003B15B9" w:rsidRPr="00AE2863">
        <w:t>Qualitative studies support that dual enrollment opportunities</w:t>
      </w:r>
      <w:r w:rsidR="00384AC5" w:rsidRPr="00AE2863">
        <w:t xml:space="preserve"> influence</w:t>
      </w:r>
      <w:r w:rsidR="003B15B9" w:rsidRPr="00AE2863">
        <w:t xml:space="preserve"> educational identity and provide supportive student</w:t>
      </w:r>
      <w:r w:rsidR="00DB00DE">
        <w:t xml:space="preserve"> and</w:t>
      </w:r>
      <w:r w:rsidR="003B15B9" w:rsidRPr="00AE2863">
        <w:t xml:space="preserve"> </w:t>
      </w:r>
      <w:r w:rsidR="003B15B9" w:rsidRPr="00AE2863">
        <w:lastRenderedPageBreak/>
        <w:t xml:space="preserve">teacher relationships (Song &amp; </w:t>
      </w:r>
      <w:r w:rsidR="00E56BF2">
        <w:t>Zeiser</w:t>
      </w:r>
      <w:r w:rsidR="003B15B9" w:rsidRPr="00AE2863">
        <w:t xml:space="preserve">, 2019). </w:t>
      </w:r>
      <w:r w:rsidR="00DB00DE">
        <w:t>S</w:t>
      </w:r>
      <w:r w:rsidRPr="00AE2863">
        <w:rPr>
          <w:i/>
        </w:rPr>
        <w:t>trategies</w:t>
      </w:r>
      <w:r w:rsidR="00421D70" w:rsidRPr="00AE2863">
        <w:t xml:space="preserve"> include t</w:t>
      </w:r>
      <w:r w:rsidRPr="00AE2863">
        <w:t>he coping responses available to manage the transition.</w:t>
      </w:r>
      <w:r w:rsidR="00A92C48" w:rsidRPr="00AE2863">
        <w:t xml:space="preserve"> </w:t>
      </w:r>
      <w:r w:rsidR="000B5BB1" w:rsidRPr="00AE2863">
        <w:t>Students navigate transitions and cope with things in different ways</w:t>
      </w:r>
      <w:r w:rsidR="00CD6124" w:rsidRPr="00AE2863">
        <w:t xml:space="preserve"> </w:t>
      </w:r>
      <w:r w:rsidR="000B5BB1" w:rsidRPr="00AE2863">
        <w:t>(</w:t>
      </w:r>
      <w:r w:rsidR="0029703C">
        <w:t xml:space="preserve">Anderson et al., 2012; </w:t>
      </w:r>
      <w:r w:rsidR="0029703C" w:rsidRPr="00734B0B">
        <w:t>Schlossberg</w:t>
      </w:r>
      <w:r w:rsidR="0029703C">
        <w:t xml:space="preserve">, </w:t>
      </w:r>
      <w:r w:rsidR="0029703C" w:rsidRPr="00734B0B">
        <w:t>2008</w:t>
      </w:r>
      <w:r w:rsidR="000B5BB1" w:rsidRPr="00AE2863">
        <w:t xml:space="preserve">). </w:t>
      </w:r>
      <w:r w:rsidR="00EE7676">
        <w:t xml:space="preserve">Karp (2012) </w:t>
      </w:r>
      <w:r w:rsidR="0029703C">
        <w:t>asserted</w:t>
      </w:r>
      <w:r w:rsidR="00EE7676">
        <w:t xml:space="preserve"> that a lack of understanding of the college system is a major hurdle for students</w:t>
      </w:r>
      <w:r w:rsidR="00EE7676" w:rsidRPr="00AE2863">
        <w:t xml:space="preserve"> </w:t>
      </w:r>
      <w:r w:rsidR="00EE7676">
        <w:t xml:space="preserve">entering </w:t>
      </w:r>
      <w:r w:rsidR="00890BED">
        <w:t>post-secondary</w:t>
      </w:r>
      <w:r w:rsidR="00EE7676">
        <w:t xml:space="preserve"> education. </w:t>
      </w:r>
      <w:r w:rsidR="00781E05" w:rsidRPr="001B24FE">
        <w:t>Conley (2012) describe</w:t>
      </w:r>
      <w:r w:rsidR="00C950D3">
        <w:t>d</w:t>
      </w:r>
      <w:r w:rsidR="00781E05" w:rsidRPr="001B24FE">
        <w:t xml:space="preserve"> how key transition knowledge and skills are important for successful navigation of transitions from high school to life beyond. As necessary as this knowledge and skill </w:t>
      </w:r>
      <w:r w:rsidR="00890BED">
        <w:t>are</w:t>
      </w:r>
      <w:r w:rsidR="00781E05" w:rsidRPr="001B24FE">
        <w:t>, underrepresented students are the least likely to have access to information such as options for classes, financial aid, and other important aspects of post-secondary education (Conley, 2012).</w:t>
      </w:r>
      <w:r w:rsidR="00781E05">
        <w:t xml:space="preserve"> </w:t>
      </w:r>
      <w:r w:rsidR="00DC2E19" w:rsidRPr="00AE2863">
        <w:t>A realistic understanding of college expectations through dual enrollment helps student</w:t>
      </w:r>
      <w:r w:rsidR="00F704AE">
        <w:t>s</w:t>
      </w:r>
      <w:r w:rsidR="00DC2E19" w:rsidRPr="00AE2863">
        <w:t xml:space="preserve"> improve t</w:t>
      </w:r>
      <w:r w:rsidR="000B5BB1" w:rsidRPr="00AE2863">
        <w:t xml:space="preserve">ime management and </w:t>
      </w:r>
      <w:r w:rsidR="00DC2E19" w:rsidRPr="00AE2863">
        <w:t xml:space="preserve">academic responsibility (Song </w:t>
      </w:r>
      <w:r w:rsidR="003B15B9" w:rsidRPr="00AE2863">
        <w:t xml:space="preserve">&amp; </w:t>
      </w:r>
      <w:r w:rsidR="00E56BF2">
        <w:t>Zeiser</w:t>
      </w:r>
      <w:r w:rsidR="00DC2E19" w:rsidRPr="00AE2863">
        <w:t>, 2019)</w:t>
      </w:r>
      <w:r w:rsidR="00EE7676">
        <w:t xml:space="preserve">. </w:t>
      </w:r>
      <w:r w:rsidR="00DC2E19" w:rsidRPr="00AE2863">
        <w:t>S</w:t>
      </w:r>
      <w:r w:rsidR="00A92C48" w:rsidRPr="00AE2863">
        <w:t xml:space="preserve">trategies that </w:t>
      </w:r>
      <w:r w:rsidR="00C54F9C" w:rsidRPr="00AE2863">
        <w:t xml:space="preserve">may </w:t>
      </w:r>
      <w:r w:rsidR="00A92C48" w:rsidRPr="00AE2863">
        <w:t xml:space="preserve">help dual enrollment students navigate the transition and coping </w:t>
      </w:r>
      <w:r w:rsidR="002624F4" w:rsidRPr="00AE2863">
        <w:t>re</w:t>
      </w:r>
      <w:r w:rsidR="00C54F9C" w:rsidRPr="00AE2863">
        <w:t>s</w:t>
      </w:r>
      <w:r w:rsidR="002624F4" w:rsidRPr="00AE2863">
        <w:t>p</w:t>
      </w:r>
      <w:r w:rsidR="004763AA" w:rsidRPr="00AE2863">
        <w:t>onse</w:t>
      </w:r>
      <w:r w:rsidR="000B5BB1" w:rsidRPr="00AE2863">
        <w:t xml:space="preserve"> for success in</w:t>
      </w:r>
      <w:r w:rsidR="002925B5">
        <w:t xml:space="preserve"> dual enrollment</w:t>
      </w:r>
      <w:r w:rsidR="000B5BB1" w:rsidRPr="00AE2863">
        <w:t xml:space="preserve"> courses</w:t>
      </w:r>
      <w:r w:rsidR="00A92C48" w:rsidRPr="00AE2863">
        <w:t>.</w:t>
      </w:r>
      <w:r w:rsidR="00421D70" w:rsidRPr="00AE2863">
        <w:t xml:space="preserve"> The 4 S’s </w:t>
      </w:r>
      <w:r w:rsidR="00C54F9C" w:rsidRPr="00AE2863">
        <w:t xml:space="preserve">framework could </w:t>
      </w:r>
      <w:r w:rsidR="00421D70" w:rsidRPr="00AE2863">
        <w:t xml:space="preserve">bring valuable insight to help bridge the </w:t>
      </w:r>
      <w:r w:rsidR="00C54F9C" w:rsidRPr="00AE2863">
        <w:t>gap and increase</w:t>
      </w:r>
      <w:r w:rsidR="00890BED">
        <w:t xml:space="preserve"> the</w:t>
      </w:r>
      <w:r w:rsidR="00C54F9C" w:rsidRPr="00AE2863">
        <w:t xml:space="preserve"> </w:t>
      </w:r>
      <w:r w:rsidR="00421D70" w:rsidRPr="00AE2863">
        <w:t>success of high school students</w:t>
      </w:r>
      <w:r w:rsidR="00890BED">
        <w:t>’</w:t>
      </w:r>
      <w:r w:rsidR="00421D70" w:rsidRPr="00AE2863">
        <w:t xml:space="preserve"> transition to </w:t>
      </w:r>
      <w:r w:rsidR="00890BED">
        <w:t>college-level</w:t>
      </w:r>
      <w:r w:rsidR="00421D70" w:rsidRPr="00AE2863">
        <w:t xml:space="preserve"> courses through dual enrollment</w:t>
      </w:r>
      <w:r w:rsidR="009C4B98" w:rsidRPr="00AE2863">
        <w:t xml:space="preserve"> </w:t>
      </w:r>
      <w:r w:rsidR="00C54F9C" w:rsidRPr="00AE2863">
        <w:t>with</w:t>
      </w:r>
      <w:r w:rsidR="009C4B98" w:rsidRPr="00AE2863">
        <w:t xml:space="preserve"> </w:t>
      </w:r>
      <w:r w:rsidR="00124E6A" w:rsidRPr="00AE2863">
        <w:t xml:space="preserve">valuable </w:t>
      </w:r>
      <w:r w:rsidR="009C4B98" w:rsidRPr="00AE2863">
        <w:t>resources and tailored support</w:t>
      </w:r>
      <w:r w:rsidR="00421D70" w:rsidRPr="00AE2863">
        <w:t xml:space="preserve">. </w:t>
      </w:r>
    </w:p>
    <w:p w14:paraId="7D2AA7D1" w14:textId="2AFEDA98" w:rsidR="00DC1DC8" w:rsidRDefault="007B5760" w:rsidP="00734B0B">
      <w:pPr>
        <w:ind w:firstLine="720"/>
      </w:pPr>
      <w:r w:rsidRPr="00B96243">
        <w:t>T</w:t>
      </w:r>
      <w:r w:rsidR="00734B0B" w:rsidRPr="00B96243">
        <w:t>he 4 S’s can vary widely</w:t>
      </w:r>
      <w:r w:rsidRPr="00B96243">
        <w:t xml:space="preserve"> among </w:t>
      </w:r>
      <w:r w:rsidR="00156C6D">
        <w:t>individuals</w:t>
      </w:r>
      <w:r w:rsidRPr="00B96243">
        <w:t>.</w:t>
      </w:r>
      <w:r w:rsidR="00734B0B" w:rsidRPr="00B96243">
        <w:t xml:space="preserve"> </w:t>
      </w:r>
      <w:r w:rsidRPr="00B96243">
        <w:t>For first-generation college students or those from underrepresented backgrounds,</w:t>
      </w:r>
      <w:r w:rsidR="00734B0B" w:rsidRPr="00B96243">
        <w:t xml:space="preserve"> support services and early interventions </w:t>
      </w:r>
      <w:r w:rsidRPr="00B96243">
        <w:t xml:space="preserve">can be </w:t>
      </w:r>
      <w:r w:rsidR="00734B0B" w:rsidRPr="00B96243">
        <w:t>especially important</w:t>
      </w:r>
      <w:r w:rsidRPr="00B96243">
        <w:t xml:space="preserve"> (</w:t>
      </w:r>
      <w:r w:rsidR="00E91344" w:rsidRPr="00B96243">
        <w:t>Oliobi et al., 2024</w:t>
      </w:r>
      <w:r w:rsidRPr="00B96243">
        <w:t>)</w:t>
      </w:r>
      <w:r w:rsidR="00734B0B" w:rsidRPr="00B96243">
        <w:t xml:space="preserve">. Transitions </w:t>
      </w:r>
      <w:r w:rsidR="00C950D3">
        <w:t>such as</w:t>
      </w:r>
      <w:r w:rsidR="00734B0B" w:rsidRPr="00B96243">
        <w:t xml:space="preserve"> dual enrollment can be empowering but also overwhelming</w:t>
      </w:r>
      <w:r w:rsidR="00B23EA0" w:rsidRPr="00B96243">
        <w:t>. This</w:t>
      </w:r>
      <w:r w:rsidR="00734B0B" w:rsidRPr="00B96243">
        <w:t xml:space="preserve"> </w:t>
      </w:r>
      <w:r w:rsidR="00B23EA0" w:rsidRPr="00B96243">
        <w:t xml:space="preserve">is </w:t>
      </w:r>
      <w:r w:rsidR="00734B0B" w:rsidRPr="00B96243">
        <w:t>especially</w:t>
      </w:r>
      <w:r w:rsidR="00B23EA0" w:rsidRPr="00B96243">
        <w:t xml:space="preserve"> possible</w:t>
      </w:r>
      <w:r w:rsidR="00734B0B" w:rsidRPr="00B96243">
        <w:t xml:space="preserve"> when students lack adequate support or encounter mismatched expectations</w:t>
      </w:r>
      <w:r w:rsidR="00B23EA0" w:rsidRPr="00B96243">
        <w:t xml:space="preserve">. </w:t>
      </w:r>
      <w:r w:rsidR="00F13096" w:rsidRPr="00B96243">
        <w:t xml:space="preserve">Minority and low-income students are shown to </w:t>
      </w:r>
      <w:r w:rsidR="00E93748" w:rsidRPr="00B96243">
        <w:t xml:space="preserve">be </w:t>
      </w:r>
      <w:r w:rsidR="00F13096" w:rsidRPr="00B96243">
        <w:t xml:space="preserve">less likely </w:t>
      </w:r>
      <w:r w:rsidR="00E93748" w:rsidRPr="00B96243">
        <w:t xml:space="preserve">to </w:t>
      </w:r>
      <w:r w:rsidR="00F13096" w:rsidRPr="00B96243">
        <w:t>participate in dual enrollment programs, while those who did benefit</w:t>
      </w:r>
      <w:r w:rsidR="00F13096">
        <w:t xml:space="preserve"> less from program participation (Lee &amp; Villarreal, 2023</w:t>
      </w:r>
      <w:r w:rsidR="00F13096" w:rsidRPr="00F13096">
        <w:t>). However, Lee et al</w:t>
      </w:r>
      <w:r w:rsidR="00BD3845">
        <w:t>.</w:t>
      </w:r>
      <w:r w:rsidR="00F13096" w:rsidRPr="00F13096">
        <w:t xml:space="preserve"> (2022) reported a greater positive association</w:t>
      </w:r>
      <w:r w:rsidR="00F13096">
        <w:t xml:space="preserve"> with dual enrollment for racial minorit</w:t>
      </w:r>
      <w:r w:rsidR="00E93748">
        <w:t>ies</w:t>
      </w:r>
      <w:r w:rsidR="00F13096">
        <w:t xml:space="preserve">, </w:t>
      </w:r>
      <w:r w:rsidR="00890BED">
        <w:t>first-generation</w:t>
      </w:r>
      <w:r w:rsidR="00F13096">
        <w:t>, and low</w:t>
      </w:r>
      <w:r w:rsidR="00E93748">
        <w:t>-</w:t>
      </w:r>
      <w:r w:rsidR="00F13096">
        <w:t>income students</w:t>
      </w:r>
      <w:r w:rsidR="00890BED">
        <w:t>,</w:t>
      </w:r>
      <w:r w:rsidR="00F13096">
        <w:t xml:space="preserve"> </w:t>
      </w:r>
      <w:r w:rsidR="00890BED">
        <w:t>which</w:t>
      </w:r>
      <w:r w:rsidR="00F13096">
        <w:t xml:space="preserve"> suggested dual enrollment may help close achievement gaps for historically </w:t>
      </w:r>
      <w:r w:rsidR="00F13096">
        <w:lastRenderedPageBreak/>
        <w:t xml:space="preserve">underrepresented students. </w:t>
      </w:r>
      <w:r w:rsidR="00F13096" w:rsidRPr="00F13096">
        <w:t>“</w:t>
      </w:r>
      <w:r w:rsidR="00F13096">
        <w:t>These results stress the need for higher education institutions to provide more robust support to these underserved students participating in DE programs and making a successful transition into college” (Lee &amp; Villarreal, 2023, p.</w:t>
      </w:r>
      <w:r w:rsidR="00493D50">
        <w:t xml:space="preserve"> </w:t>
      </w:r>
      <w:r w:rsidR="00F13096">
        <w:t>33).</w:t>
      </w:r>
      <w:r w:rsidR="00734B0B" w:rsidRPr="00734B0B">
        <w:t xml:space="preserve"> </w:t>
      </w:r>
      <w:r w:rsidR="00DC1DC8" w:rsidRPr="00B96243">
        <w:t xml:space="preserve">Tulloch (2024) described </w:t>
      </w:r>
      <w:r w:rsidR="00890BED">
        <w:t xml:space="preserve">that </w:t>
      </w:r>
      <w:r w:rsidR="00DC1DC8">
        <w:t xml:space="preserve">historically underserved dual enrollment </w:t>
      </w:r>
      <w:r w:rsidR="00DC1DC8" w:rsidRPr="00B96243">
        <w:t>students’ wants</w:t>
      </w:r>
      <w:r w:rsidR="00DC1DC8">
        <w:t xml:space="preserve"> included</w:t>
      </w:r>
      <w:r w:rsidR="00DC1DC8" w:rsidRPr="00B96243">
        <w:t xml:space="preserve"> earlier knowledge of dual enrollment programs, well-informed advisors, </w:t>
      </w:r>
      <w:r w:rsidR="00890BED">
        <w:t xml:space="preserve">a </w:t>
      </w:r>
      <w:r w:rsidR="00DC1DC8" w:rsidRPr="00B96243">
        <w:t xml:space="preserve">balance of high school with dual enrollment, and alignment with pathways. </w:t>
      </w:r>
    </w:p>
    <w:p w14:paraId="4608B03D" w14:textId="119AD2D6" w:rsidR="00734B0B" w:rsidRPr="00734B0B" w:rsidRDefault="00734B0B" w:rsidP="00734B0B">
      <w:pPr>
        <w:ind w:firstLine="720"/>
      </w:pPr>
      <w:r w:rsidRPr="00734B0B">
        <w:t xml:space="preserve">Social milestones, such as graduating from high school and enrolling in college carry personal </w:t>
      </w:r>
      <w:r w:rsidR="009B542F">
        <w:t>and</w:t>
      </w:r>
      <w:r w:rsidRPr="00734B0B">
        <w:t xml:space="preserve"> societal pressures. While these transitions may be perceived positively by some, for others, they can be destabilizing or even alienating, particularly in the absence of guidance or cultural capital. Schlossberg (2008) reminds us that “life is not that orderly to label every step and process for all individuals” (p. 47), meaning each student must navigate their own unique path, even when they appear to be on the same timeline as their peers.</w:t>
      </w:r>
      <w:r w:rsidR="002A46F0">
        <w:t xml:space="preserve"> Dual enrollment has the potential to ease the transition of high school to college for a wide range of students, even underserved student population (</w:t>
      </w:r>
      <w:r w:rsidR="0035631D">
        <w:t>Fink &amp; Jenkins, 2023</w:t>
      </w:r>
      <w:r w:rsidR="002A46F0">
        <w:t>;</w:t>
      </w:r>
      <w:r w:rsidR="0035631D" w:rsidRPr="0035631D">
        <w:t xml:space="preserve"> </w:t>
      </w:r>
      <w:r w:rsidR="0035631D">
        <w:t>Jones, 201</w:t>
      </w:r>
      <w:r w:rsidR="00BD3845">
        <w:t>4</w:t>
      </w:r>
      <w:r w:rsidR="002A46F0">
        <w:t>).</w:t>
      </w:r>
    </w:p>
    <w:p w14:paraId="78550801" w14:textId="3819DABB" w:rsidR="00291504" w:rsidRPr="00AC3D12" w:rsidRDefault="00734B0B" w:rsidP="00A6678F">
      <w:pPr>
        <w:ind w:firstLine="720"/>
      </w:pPr>
      <w:r w:rsidRPr="00734B0B">
        <w:t xml:space="preserve">In the context of </w:t>
      </w:r>
      <w:r w:rsidR="009E644F">
        <w:t xml:space="preserve">my </w:t>
      </w:r>
      <w:r w:rsidRPr="00734B0B">
        <w:t xml:space="preserve">study, </w:t>
      </w:r>
      <w:r w:rsidR="00E26E4D">
        <w:t xml:space="preserve">the work presented by </w:t>
      </w:r>
      <w:r w:rsidRPr="00734B0B">
        <w:t>Schlossber</w:t>
      </w:r>
      <w:r w:rsidR="00E26E4D">
        <w:t>g (2008)</w:t>
      </w:r>
      <w:r w:rsidRPr="00734B0B">
        <w:t xml:space="preserve"> offers a powerful framework for examining how students experience and respond to the transition from high school to college, particularly through the lens of dual enrollment and associate degree completion. </w:t>
      </w:r>
      <w:r w:rsidR="001878E9">
        <w:rPr>
          <w:rFonts w:cs="Times New Roman"/>
        </w:rPr>
        <w:t>D</w:t>
      </w:r>
      <w:r w:rsidR="001878E9" w:rsidRPr="00494158">
        <w:rPr>
          <w:rFonts w:cs="Times New Roman"/>
        </w:rPr>
        <w:t xml:space="preserve">ual enrollment </w:t>
      </w:r>
      <w:r w:rsidR="001878E9">
        <w:rPr>
          <w:rFonts w:cs="Times New Roman"/>
        </w:rPr>
        <w:t>may</w:t>
      </w:r>
      <w:r w:rsidR="001878E9" w:rsidRPr="00494158">
        <w:rPr>
          <w:rFonts w:cs="Times New Roman"/>
        </w:rPr>
        <w:t xml:space="preserve"> contribute to a fast-track to degree completion </w:t>
      </w:r>
      <w:r w:rsidR="001878E9">
        <w:rPr>
          <w:rFonts w:cs="Times New Roman"/>
        </w:rPr>
        <w:t>(</w:t>
      </w:r>
      <w:r w:rsidR="001878E9" w:rsidRPr="00494158">
        <w:rPr>
          <w:rFonts w:cs="Times New Roman"/>
          <w:color w:val="000000" w:themeColor="text1"/>
          <w:szCs w:val="24"/>
        </w:rPr>
        <w:t>American Association of Community Colleges</w:t>
      </w:r>
      <w:r w:rsidR="001878E9">
        <w:rPr>
          <w:rFonts w:cs="Times New Roman"/>
          <w:color w:val="000000" w:themeColor="text1"/>
          <w:szCs w:val="24"/>
        </w:rPr>
        <w:t xml:space="preserve">, </w:t>
      </w:r>
      <w:r w:rsidR="001878E9" w:rsidRPr="00494158">
        <w:rPr>
          <w:rFonts w:cs="Times New Roman"/>
          <w:color w:val="000000" w:themeColor="text1"/>
          <w:szCs w:val="24"/>
        </w:rPr>
        <w:t>2019</w:t>
      </w:r>
      <w:r w:rsidR="001878E9">
        <w:rPr>
          <w:rFonts w:cs="Times New Roman"/>
          <w:color w:val="000000" w:themeColor="text1"/>
          <w:szCs w:val="24"/>
        </w:rPr>
        <w:t>;</w:t>
      </w:r>
      <w:r w:rsidR="001878E9" w:rsidRPr="00494158">
        <w:rPr>
          <w:rFonts w:cs="Times New Roman"/>
          <w:color w:val="000000" w:themeColor="text1"/>
          <w:szCs w:val="24"/>
        </w:rPr>
        <w:t xml:space="preserve"> Dannenberg &amp; Hyslop</w:t>
      </w:r>
      <w:r w:rsidR="001878E9">
        <w:rPr>
          <w:rFonts w:cs="Times New Roman"/>
          <w:color w:val="000000" w:themeColor="text1"/>
          <w:szCs w:val="24"/>
        </w:rPr>
        <w:t xml:space="preserve">, </w:t>
      </w:r>
      <w:r w:rsidR="001878E9" w:rsidRPr="00494158">
        <w:rPr>
          <w:rFonts w:cs="Times New Roman"/>
          <w:color w:val="000000" w:themeColor="text1"/>
          <w:szCs w:val="24"/>
        </w:rPr>
        <w:t>2019</w:t>
      </w:r>
      <w:r w:rsidR="001878E9">
        <w:rPr>
          <w:rFonts w:cs="Times New Roman"/>
          <w:color w:val="000000" w:themeColor="text1"/>
          <w:szCs w:val="24"/>
        </w:rPr>
        <w:t>;</w:t>
      </w:r>
      <w:r w:rsidR="001878E9" w:rsidRPr="00494158">
        <w:rPr>
          <w:rFonts w:cs="Times New Roman"/>
          <w:color w:val="000000" w:themeColor="text1"/>
          <w:szCs w:val="24"/>
        </w:rPr>
        <w:t xml:space="preserve"> Knox</w:t>
      </w:r>
      <w:r w:rsidR="001878E9">
        <w:rPr>
          <w:rFonts w:cs="Times New Roman"/>
          <w:color w:val="000000" w:themeColor="text1"/>
          <w:szCs w:val="24"/>
        </w:rPr>
        <w:t>,</w:t>
      </w:r>
      <w:r w:rsidR="001878E9" w:rsidRPr="00494158">
        <w:rPr>
          <w:rFonts w:cs="Times New Roman"/>
          <w:color w:val="000000" w:themeColor="text1"/>
          <w:szCs w:val="24"/>
        </w:rPr>
        <w:t>2022)</w:t>
      </w:r>
      <w:r w:rsidR="001878E9" w:rsidRPr="00494158">
        <w:rPr>
          <w:rFonts w:cs="Times New Roman"/>
        </w:rPr>
        <w:t>. Exposure to the rigors</w:t>
      </w:r>
      <w:r w:rsidR="001878E9">
        <w:rPr>
          <w:rFonts w:cs="Times New Roman"/>
        </w:rPr>
        <w:t xml:space="preserve"> of college-level work c</w:t>
      </w:r>
      <w:r w:rsidR="003F6E49">
        <w:rPr>
          <w:rFonts w:cs="Times New Roman"/>
        </w:rPr>
        <w:t>ould</w:t>
      </w:r>
      <w:r w:rsidR="001878E9">
        <w:rPr>
          <w:rFonts w:cs="Times New Roman"/>
        </w:rPr>
        <w:t xml:space="preserve"> increase the academic preparation and advancement of skills thus increasing the ability to navigate the rigors of higher education</w:t>
      </w:r>
      <w:r w:rsidR="00A15C3F">
        <w:rPr>
          <w:rFonts w:cs="Times New Roman"/>
        </w:rPr>
        <w:t xml:space="preserve"> </w:t>
      </w:r>
      <w:r w:rsidR="00A15C3F" w:rsidRPr="00A22DAC">
        <w:rPr>
          <w:rFonts w:cs="Times New Roman"/>
          <w:color w:val="000000" w:themeColor="text1"/>
          <w:szCs w:val="24"/>
        </w:rPr>
        <w:t>(</w:t>
      </w:r>
      <w:r w:rsidR="00A15C3F">
        <w:rPr>
          <w:rFonts w:cs="Times New Roman"/>
          <w:color w:val="000000" w:themeColor="text1"/>
          <w:szCs w:val="24"/>
        </w:rPr>
        <w:t xml:space="preserve">Kim et al., </w:t>
      </w:r>
      <w:r w:rsidR="00A15C3F" w:rsidRPr="00A22DAC">
        <w:rPr>
          <w:rFonts w:cs="Times New Roman"/>
          <w:color w:val="000000" w:themeColor="text1"/>
          <w:szCs w:val="24"/>
        </w:rPr>
        <w:t>2006)</w:t>
      </w:r>
      <w:r w:rsidR="0095315F">
        <w:rPr>
          <w:rFonts w:cs="Times New Roman"/>
          <w:color w:val="000000" w:themeColor="text1"/>
          <w:szCs w:val="24"/>
        </w:rPr>
        <w:t>. Participation in dual enrollment</w:t>
      </w:r>
      <w:r w:rsidR="0095315F">
        <w:rPr>
          <w:rFonts w:cs="Times New Roman"/>
          <w:color w:val="000000" w:themeColor="text1"/>
          <w:szCs w:val="24"/>
        </w:rPr>
        <w:t xml:space="preserve"> </w:t>
      </w:r>
      <w:r w:rsidR="0095315F">
        <w:rPr>
          <w:rFonts w:cs="Times New Roman"/>
          <w:color w:val="000000" w:themeColor="text1"/>
          <w:szCs w:val="24"/>
        </w:rPr>
        <w:t>may contribute to stronger academic outcomes which could result in</w:t>
      </w:r>
      <w:r w:rsidR="0095315F">
        <w:rPr>
          <w:rFonts w:cs="Times New Roman"/>
          <w:color w:val="000000" w:themeColor="text1"/>
          <w:szCs w:val="24"/>
        </w:rPr>
        <w:t xml:space="preserve"> </w:t>
      </w:r>
      <w:r w:rsidR="0095315F" w:rsidRPr="00291504">
        <w:rPr>
          <w:rFonts w:cs="Times New Roman"/>
          <w:color w:val="000000" w:themeColor="text1"/>
          <w:szCs w:val="24"/>
        </w:rPr>
        <w:t xml:space="preserve">a timelier completion of a degree, reduction of financial burden and student debt, a </w:t>
      </w:r>
      <w:r w:rsidR="0095315F" w:rsidRPr="00291504">
        <w:rPr>
          <w:rFonts w:cs="Times New Roman"/>
          <w:color w:val="000000" w:themeColor="text1"/>
          <w:szCs w:val="24"/>
        </w:rPr>
        <w:lastRenderedPageBreak/>
        <w:t xml:space="preserve">rigorous academic experience, connection of the high school student to higher education, opportunity to practice the role of a college student which </w:t>
      </w:r>
      <w:r w:rsidR="0095315F">
        <w:rPr>
          <w:rFonts w:cs="Times New Roman"/>
          <w:color w:val="000000" w:themeColor="text1"/>
          <w:szCs w:val="24"/>
        </w:rPr>
        <w:t>could</w:t>
      </w:r>
      <w:r w:rsidR="0095315F" w:rsidRPr="00291504">
        <w:rPr>
          <w:rFonts w:cs="Times New Roman"/>
          <w:color w:val="000000" w:themeColor="text1"/>
          <w:szCs w:val="24"/>
        </w:rPr>
        <w:t xml:space="preserve"> help </w:t>
      </w:r>
      <w:r w:rsidR="0095315F">
        <w:rPr>
          <w:rFonts w:cs="Times New Roman"/>
          <w:color w:val="000000" w:themeColor="text1"/>
          <w:szCs w:val="24"/>
        </w:rPr>
        <w:t>contribute to a more confident transition to college</w:t>
      </w:r>
      <w:r w:rsidR="0095315F" w:rsidRPr="00291504">
        <w:rPr>
          <w:rFonts w:cs="Times New Roman"/>
          <w:color w:val="000000" w:themeColor="text1"/>
          <w:szCs w:val="24"/>
        </w:rPr>
        <w:t xml:space="preserve">, </w:t>
      </w:r>
      <w:r w:rsidR="0095315F">
        <w:rPr>
          <w:rFonts w:cs="Times New Roman"/>
          <w:color w:val="000000" w:themeColor="text1"/>
          <w:szCs w:val="24"/>
        </w:rPr>
        <w:t xml:space="preserve">and </w:t>
      </w:r>
      <w:r w:rsidR="0095315F" w:rsidRPr="00291504">
        <w:rPr>
          <w:rFonts w:cs="Times New Roman"/>
          <w:color w:val="000000" w:themeColor="text1"/>
          <w:szCs w:val="24"/>
        </w:rPr>
        <w:t>reduction in remediation (Fink et al., 2017; Grubb et al., 2017; Karp, 2012; Karp &amp; Hughes, 2008</w:t>
      </w:r>
      <w:r w:rsidR="0095315F">
        <w:rPr>
          <w:rFonts w:cs="Times New Roman"/>
          <w:color w:val="000000" w:themeColor="text1"/>
          <w:szCs w:val="24"/>
        </w:rPr>
        <w:t>; Young, 2021</w:t>
      </w:r>
      <w:r w:rsidR="0095315F" w:rsidRPr="00291504">
        <w:rPr>
          <w:rFonts w:cs="Times New Roman"/>
          <w:color w:val="000000" w:themeColor="text1"/>
          <w:szCs w:val="24"/>
        </w:rPr>
        <w:t xml:space="preserve">). </w:t>
      </w:r>
      <w:r w:rsidRPr="00734B0B">
        <w:t>Understanding transition</w:t>
      </w:r>
      <w:r w:rsidR="00AF0543">
        <w:t xml:space="preserve"> from high school to college</w:t>
      </w:r>
      <w:r w:rsidRPr="00734B0B">
        <w:t xml:space="preserve"> can inform policies that better support students during this critical period of their academic </w:t>
      </w:r>
      <w:r w:rsidRPr="00AF0543">
        <w:t>journey</w:t>
      </w:r>
      <w:r w:rsidR="00D02F13" w:rsidRPr="00AF0543">
        <w:t xml:space="preserve"> (</w:t>
      </w:r>
      <w:r w:rsidR="00AF0543" w:rsidRPr="00AF0543">
        <w:t>Bailey et al., 20</w:t>
      </w:r>
      <w:r w:rsidR="00BD3845">
        <w:t>0</w:t>
      </w:r>
      <w:r w:rsidR="00AF0543" w:rsidRPr="00AF0543">
        <w:t>2; Bailey et al., 2003</w:t>
      </w:r>
      <w:r w:rsidR="00D6785A">
        <w:t>; Henneberger et al., 2022</w:t>
      </w:r>
      <w:r w:rsidR="00D02F13" w:rsidRPr="00AF0543">
        <w:t>)</w:t>
      </w:r>
      <w:r w:rsidR="006369C0" w:rsidRPr="00AF0543">
        <w:t>.</w:t>
      </w:r>
    </w:p>
    <w:p w14:paraId="1A80D649" w14:textId="06B988BE" w:rsidR="003D062B" w:rsidRPr="003D062B" w:rsidRDefault="003D062B" w:rsidP="003D062B">
      <w:pPr>
        <w:pStyle w:val="Heading3"/>
      </w:pPr>
      <w:bookmarkStart w:id="33" w:name="_Toc224458891"/>
      <w:r>
        <w:t>History</w:t>
      </w:r>
      <w:r w:rsidR="0053032E">
        <w:t xml:space="preserve"> of Community Colleges</w:t>
      </w:r>
      <w:bookmarkEnd w:id="33"/>
    </w:p>
    <w:p w14:paraId="7E2ACCDC" w14:textId="7E28DD6C" w:rsidR="00734B0B" w:rsidRPr="00734B0B" w:rsidRDefault="00734B0B" w:rsidP="00734B0B">
      <w:pPr>
        <w:ind w:firstLine="720"/>
        <w:rPr>
          <w:rFonts w:cs="Times New Roman"/>
          <w:color w:val="000000" w:themeColor="text1"/>
          <w:szCs w:val="24"/>
        </w:rPr>
      </w:pPr>
      <w:r w:rsidRPr="00734B0B">
        <w:rPr>
          <w:rFonts w:cs="Times New Roman"/>
          <w:color w:val="000000" w:themeColor="text1"/>
          <w:szCs w:val="24"/>
        </w:rPr>
        <w:t>Community colleges in the United States date back to the early 20</w:t>
      </w:r>
      <w:r w:rsidRPr="00734B0B">
        <w:rPr>
          <w:rFonts w:cs="Times New Roman"/>
          <w:color w:val="000000" w:themeColor="text1"/>
          <w:szCs w:val="24"/>
          <w:vertAlign w:val="superscript"/>
        </w:rPr>
        <w:t>th</w:t>
      </w:r>
      <w:r w:rsidRPr="00734B0B">
        <w:rPr>
          <w:rFonts w:cs="Times New Roman"/>
          <w:color w:val="000000" w:themeColor="text1"/>
          <w:szCs w:val="24"/>
        </w:rPr>
        <w:t xml:space="preserve"> century. Joliet Junior College, founded in 1901, was the first public junior college institution, established as an annex of Joliet Public High School (Beach, 2011). This innovation was contributed to the work of William Rainey Harper, president of the University of Chicago, and J. Stanley Brown, principal of Joliet High School (Beach, 2011). This set the stage for the emergence of community colleges nationwide. Distinct adaptations, growing pains, and phases of growth have shaped the significance of community colleges in the United States</w:t>
      </w:r>
      <w:r w:rsidR="00D02F13">
        <w:rPr>
          <w:rFonts w:cs="Times New Roman"/>
          <w:color w:val="000000" w:themeColor="text1"/>
          <w:szCs w:val="24"/>
        </w:rPr>
        <w:t xml:space="preserve"> </w:t>
      </w:r>
      <w:r w:rsidR="00D02F13" w:rsidRPr="00D02F13">
        <w:rPr>
          <w:rFonts w:cs="Times New Roman"/>
          <w:color w:val="000000" w:themeColor="text1"/>
          <w:szCs w:val="24"/>
        </w:rPr>
        <w:t>(Beach, 2011; Thelin, 2019)</w:t>
      </w:r>
      <w:r w:rsidRPr="00D02F13">
        <w:rPr>
          <w:rFonts w:cs="Times New Roman"/>
          <w:color w:val="000000" w:themeColor="text1"/>
          <w:szCs w:val="24"/>
        </w:rPr>
        <w:t>.</w:t>
      </w:r>
      <w:r w:rsidRPr="00734B0B">
        <w:rPr>
          <w:rFonts w:cs="Times New Roman"/>
          <w:color w:val="000000" w:themeColor="text1"/>
          <w:szCs w:val="24"/>
        </w:rPr>
        <w:t xml:space="preserve"> </w:t>
      </w:r>
    </w:p>
    <w:p w14:paraId="59609B4C" w14:textId="36528D24" w:rsidR="009675F4" w:rsidRDefault="00734B0B" w:rsidP="00734B0B">
      <w:pPr>
        <w:ind w:firstLine="720"/>
        <w:rPr>
          <w:rFonts w:cs="Times New Roman"/>
          <w:color w:val="000000" w:themeColor="text1"/>
          <w:szCs w:val="24"/>
        </w:rPr>
      </w:pPr>
      <w:r w:rsidRPr="00734B0B">
        <w:rPr>
          <w:rFonts w:cs="Times New Roman"/>
          <w:color w:val="000000" w:themeColor="text1"/>
          <w:szCs w:val="24"/>
        </w:rPr>
        <w:t>Beach describe</w:t>
      </w:r>
      <w:r w:rsidR="006B50C2">
        <w:rPr>
          <w:rFonts w:cs="Times New Roman"/>
          <w:color w:val="000000" w:themeColor="text1"/>
          <w:szCs w:val="24"/>
        </w:rPr>
        <w:t>d</w:t>
      </w:r>
      <w:r w:rsidRPr="00734B0B">
        <w:rPr>
          <w:rFonts w:cs="Times New Roman"/>
          <w:color w:val="000000" w:themeColor="text1"/>
          <w:szCs w:val="24"/>
        </w:rPr>
        <w:t xml:space="preserve"> the unique American invention of open-access, comprehensive community colleges, their growth, and responsiveness to local needs, as well as the vast array of students in their respective areas (Beach, 2011). What started as a scarce commodity and an experience to the elite, transformed toward a commitment </w:t>
      </w:r>
      <w:r w:rsidR="00E93748">
        <w:rPr>
          <w:rFonts w:cs="Times New Roman"/>
          <w:color w:val="000000" w:themeColor="text1"/>
          <w:szCs w:val="24"/>
        </w:rPr>
        <w:t>to</w:t>
      </w:r>
      <w:r w:rsidRPr="00734B0B">
        <w:rPr>
          <w:rFonts w:cs="Times New Roman"/>
          <w:color w:val="000000" w:themeColor="text1"/>
          <w:szCs w:val="24"/>
        </w:rPr>
        <w:t xml:space="preserve"> higher education that was more accessible (Thelin, 2019). Between World War I and World War II, a higher number of high school graduates created a more than fivefold increase in college enrollment (Thelin, 2019). The military draft during World War II led to a substantial decline in enrollment among higher education students (Thelin, 2019). </w:t>
      </w:r>
    </w:p>
    <w:p w14:paraId="4B021566" w14:textId="4ABBB136" w:rsidR="00734B0B" w:rsidRPr="00734B0B" w:rsidRDefault="009675F4" w:rsidP="009675F4">
      <w:pPr>
        <w:ind w:firstLine="720"/>
        <w:rPr>
          <w:rFonts w:cs="Times New Roman"/>
          <w:color w:val="000000" w:themeColor="text1"/>
          <w:szCs w:val="24"/>
        </w:rPr>
      </w:pPr>
      <w:r>
        <w:rPr>
          <w:rFonts w:cs="Times New Roman"/>
          <w:color w:val="000000" w:themeColor="text1"/>
          <w:szCs w:val="24"/>
        </w:rPr>
        <w:lastRenderedPageBreak/>
        <w:t xml:space="preserve">It is important to understand the history of education, evaluate its current state, and look at the big picture of where higher education is headed. </w:t>
      </w:r>
      <w:r w:rsidR="00407A82">
        <w:rPr>
          <w:rFonts w:cs="Times New Roman"/>
          <w:color w:val="000000" w:themeColor="text1"/>
          <w:szCs w:val="24"/>
        </w:rPr>
        <w:t>“Accountability has grown since the 1960</w:t>
      </w:r>
      <w:r w:rsidR="009E644F">
        <w:rPr>
          <w:rFonts w:cs="Times New Roman"/>
          <w:color w:val="000000" w:themeColor="text1"/>
          <w:szCs w:val="24"/>
        </w:rPr>
        <w:t>’</w:t>
      </w:r>
      <w:r w:rsidR="00407A82">
        <w:rPr>
          <w:rFonts w:cs="Times New Roman"/>
          <w:color w:val="000000" w:themeColor="text1"/>
          <w:szCs w:val="24"/>
        </w:rPr>
        <w:t>s as higher education expanded and as trust in and respect for all social institutions declined” (Kisker et al., 2023</w:t>
      </w:r>
      <w:r w:rsidR="00A70FE3">
        <w:rPr>
          <w:rFonts w:cs="Times New Roman"/>
          <w:color w:val="000000" w:themeColor="text1"/>
          <w:szCs w:val="24"/>
        </w:rPr>
        <w:t xml:space="preserve"> p. 440</w:t>
      </w:r>
      <w:r w:rsidR="00407A82">
        <w:rPr>
          <w:rFonts w:cs="Times New Roman"/>
          <w:color w:val="000000" w:themeColor="text1"/>
          <w:szCs w:val="24"/>
        </w:rPr>
        <w:t xml:space="preserve">). </w:t>
      </w:r>
      <w:r w:rsidRPr="000D6A4C">
        <w:rPr>
          <w:rFonts w:cs="Times New Roman"/>
          <w:color w:val="000000" w:themeColor="text1"/>
          <w:szCs w:val="24"/>
        </w:rPr>
        <w:t>In response to growing concerns at all levels, reform efforts in education began to focus on accountability, equitable access, an</w:t>
      </w:r>
      <w:r w:rsidR="00F21830" w:rsidRPr="000D6A4C">
        <w:rPr>
          <w:rFonts w:cs="Times New Roman"/>
          <w:color w:val="000000" w:themeColor="text1"/>
          <w:szCs w:val="24"/>
        </w:rPr>
        <w:t>d</w:t>
      </w:r>
      <w:r w:rsidRPr="000D6A4C">
        <w:rPr>
          <w:rFonts w:cs="Times New Roman"/>
          <w:color w:val="000000" w:themeColor="text1"/>
          <w:szCs w:val="24"/>
        </w:rPr>
        <w:t xml:space="preserve"> improved fiscal management</w:t>
      </w:r>
      <w:r w:rsidR="00F21830" w:rsidRPr="000D6A4C">
        <w:rPr>
          <w:rFonts w:cs="Times New Roman"/>
          <w:color w:val="000000" w:themeColor="text1"/>
          <w:szCs w:val="24"/>
        </w:rPr>
        <w:t xml:space="preserve"> in</w:t>
      </w:r>
      <w:r w:rsidR="00F21830">
        <w:rPr>
          <w:rFonts w:cs="Times New Roman"/>
          <w:color w:val="000000" w:themeColor="text1"/>
          <w:szCs w:val="24"/>
        </w:rPr>
        <w:t xml:space="preserve"> which a shift in community college focus changed from the “proverbial door to higher education” to an institution that provides an “equitable pathway to a certificate, degree, transfer, or any other educational outcome they may desire” (Kisker et al., 2023 p. 443)</w:t>
      </w:r>
      <w:r>
        <w:rPr>
          <w:rFonts w:cs="Times New Roman"/>
          <w:color w:val="000000" w:themeColor="text1"/>
          <w:szCs w:val="24"/>
        </w:rPr>
        <w:t xml:space="preserve">. </w:t>
      </w:r>
      <w:r w:rsidR="00734B0B" w:rsidRPr="00734B0B">
        <w:rPr>
          <w:rFonts w:cs="Times New Roman"/>
          <w:color w:val="000000" w:themeColor="text1"/>
          <w:szCs w:val="24"/>
        </w:rPr>
        <w:t xml:space="preserve">A look into accommodation, access, and reform in higher education was witnessed through the G.I. Bill and the influential Truman Commission Report of 1947. The G.I. Bill fueled enrollment by providing educational benefits to veterans following World War II (Thelin, 2019). Beach </w:t>
      </w:r>
      <w:r w:rsidR="00E43158">
        <w:rPr>
          <w:rFonts w:cs="Times New Roman"/>
          <w:color w:val="000000" w:themeColor="text1"/>
          <w:szCs w:val="24"/>
        </w:rPr>
        <w:t xml:space="preserve">(2011) </w:t>
      </w:r>
      <w:r w:rsidR="00734B0B" w:rsidRPr="00734B0B">
        <w:rPr>
          <w:rFonts w:cs="Times New Roman"/>
          <w:color w:val="000000" w:themeColor="text1"/>
          <w:szCs w:val="24"/>
        </w:rPr>
        <w:t xml:space="preserve">explained the </w:t>
      </w:r>
      <w:r w:rsidR="00AE0990">
        <w:rPr>
          <w:rFonts w:cs="Times New Roman"/>
          <w:color w:val="000000" w:themeColor="text1"/>
          <w:szCs w:val="24"/>
        </w:rPr>
        <w:t>impact</w:t>
      </w:r>
      <w:r w:rsidR="00734B0B" w:rsidRPr="00734B0B">
        <w:rPr>
          <w:rFonts w:cs="Times New Roman"/>
          <w:color w:val="000000" w:themeColor="text1"/>
          <w:szCs w:val="24"/>
        </w:rPr>
        <w:t xml:space="preserve"> to </w:t>
      </w:r>
      <w:r w:rsidR="00AE0990">
        <w:rPr>
          <w:rFonts w:cs="Times New Roman"/>
          <w:color w:val="000000" w:themeColor="text1"/>
          <w:szCs w:val="24"/>
        </w:rPr>
        <w:t xml:space="preserve">higher </w:t>
      </w:r>
      <w:r w:rsidR="00734B0B" w:rsidRPr="00734B0B">
        <w:rPr>
          <w:rFonts w:cs="Times New Roman"/>
          <w:color w:val="000000" w:themeColor="text1"/>
          <w:szCs w:val="24"/>
        </w:rPr>
        <w:t>education with increasing student access:</w:t>
      </w:r>
    </w:p>
    <w:p w14:paraId="29FBBF1A" w14:textId="61F81CF4" w:rsidR="00734B0B" w:rsidRPr="00734B0B" w:rsidRDefault="00734B0B" w:rsidP="00734B0B">
      <w:pPr>
        <w:ind w:left="720"/>
        <w:rPr>
          <w:rFonts w:cs="Times New Roman"/>
          <w:color w:val="000000" w:themeColor="text1"/>
          <w:szCs w:val="24"/>
        </w:rPr>
      </w:pPr>
      <w:r w:rsidRPr="00734B0B">
        <w:rPr>
          <w:rFonts w:cs="Times New Roman"/>
          <w:color w:val="000000" w:themeColor="text1"/>
          <w:szCs w:val="24"/>
        </w:rPr>
        <w:t>The Truman Commission’s Report, Higher Education for American Democracy, 42 seemed not only to legitimate junior colleges by arguing that half of the American population could benefit from 2 years of postsecondary schooling, but the report also seemed to sanction a broad comprehensive mission for these institutions by suggesting a new name, and thereby a new institutional identity: the community college. The Truman Commission legitimized an expanded institutional mission, which would incorporate academically oriented general education, vocational education, adult education, and responsiveness to local community needs (</w:t>
      </w:r>
      <w:r w:rsidR="00C562BD">
        <w:rPr>
          <w:rFonts w:cs="Times New Roman"/>
          <w:color w:val="000000" w:themeColor="text1"/>
          <w:szCs w:val="24"/>
        </w:rPr>
        <w:t>p. 55</w:t>
      </w:r>
      <w:r w:rsidRPr="00734B0B">
        <w:rPr>
          <w:rFonts w:cs="Times New Roman"/>
          <w:color w:val="000000" w:themeColor="text1"/>
          <w:szCs w:val="24"/>
        </w:rPr>
        <w:t>).</w:t>
      </w:r>
    </w:p>
    <w:p w14:paraId="116A3003" w14:textId="0BE35B43" w:rsidR="00650B65" w:rsidRPr="00996E14" w:rsidRDefault="00F559B0" w:rsidP="00996E14">
      <w:pPr>
        <w:ind w:firstLine="720"/>
        <w:rPr>
          <w:rFonts w:cs="Times New Roman"/>
          <w:color w:val="000000" w:themeColor="text1"/>
          <w:szCs w:val="24"/>
        </w:rPr>
      </w:pPr>
      <w:r w:rsidRPr="00AC296E">
        <w:rPr>
          <w:rFonts w:cs="Times New Roman"/>
          <w:color w:val="000000" w:themeColor="text1"/>
          <w:szCs w:val="24"/>
        </w:rPr>
        <w:t>Fundamentally,</w:t>
      </w:r>
      <w:r w:rsidR="00650B65" w:rsidRPr="00AC296E">
        <w:rPr>
          <w:rFonts w:cs="Times New Roman"/>
          <w:color w:val="000000" w:themeColor="text1"/>
          <w:szCs w:val="24"/>
        </w:rPr>
        <w:t xml:space="preserve"> the community college role was established in 1947 through the Truman Commission on Higher Education, which aimed to establish community colleges (Cohen et al., 2014). </w:t>
      </w:r>
      <w:r w:rsidRPr="00AC296E">
        <w:rPr>
          <w:rFonts w:cs="Times New Roman"/>
          <w:color w:val="000000" w:themeColor="text1"/>
          <w:szCs w:val="24"/>
        </w:rPr>
        <w:t xml:space="preserve">This served as a catalyst that shifted a focus toward inclusive and accessible higher </w:t>
      </w:r>
      <w:r w:rsidRPr="00AC296E">
        <w:rPr>
          <w:rFonts w:cs="Times New Roman"/>
          <w:color w:val="000000" w:themeColor="text1"/>
          <w:szCs w:val="24"/>
        </w:rPr>
        <w:lastRenderedPageBreak/>
        <w:t xml:space="preserve">education that would serve communities </w:t>
      </w:r>
      <w:r w:rsidR="007D418F">
        <w:rPr>
          <w:rFonts w:cs="Times New Roman"/>
          <w:color w:val="000000" w:themeColor="text1"/>
          <w:szCs w:val="24"/>
        </w:rPr>
        <w:t xml:space="preserve">with </w:t>
      </w:r>
      <w:r w:rsidRPr="00AC296E">
        <w:rPr>
          <w:rFonts w:cs="Times New Roman"/>
          <w:color w:val="000000" w:themeColor="text1"/>
          <w:szCs w:val="24"/>
        </w:rPr>
        <w:t>local interests and needs</w:t>
      </w:r>
      <w:r w:rsidR="00C55BAB">
        <w:rPr>
          <w:rFonts w:cs="Times New Roman"/>
          <w:color w:val="000000" w:themeColor="text1"/>
          <w:szCs w:val="24"/>
        </w:rPr>
        <w:t xml:space="preserve"> (Cohen et al., 2014)</w:t>
      </w:r>
      <w:r w:rsidRPr="00AC296E">
        <w:rPr>
          <w:rFonts w:cs="Times New Roman"/>
          <w:color w:val="000000" w:themeColor="text1"/>
          <w:szCs w:val="24"/>
        </w:rPr>
        <w:t>.</w:t>
      </w:r>
      <w:r w:rsidR="00CA6D07" w:rsidRPr="00AC296E">
        <w:rPr>
          <w:rFonts w:cs="Times New Roman"/>
          <w:color w:val="000000" w:themeColor="text1"/>
          <w:szCs w:val="24"/>
        </w:rPr>
        <w:t xml:space="preserve"> </w:t>
      </w:r>
      <w:r w:rsidR="00AC296E" w:rsidRPr="00AC296E">
        <w:rPr>
          <w:rFonts w:cs="Times New Roman"/>
          <w:color w:val="000000" w:themeColor="text1"/>
          <w:szCs w:val="24"/>
        </w:rPr>
        <w:t>While not all</w:t>
      </w:r>
      <w:r w:rsidR="00FE264F">
        <w:rPr>
          <w:rFonts w:cs="Times New Roman"/>
          <w:color w:val="000000" w:themeColor="text1"/>
          <w:szCs w:val="24"/>
        </w:rPr>
        <w:t xml:space="preserve"> </w:t>
      </w:r>
      <w:r w:rsidR="00AC296E" w:rsidRPr="00AC296E">
        <w:rPr>
          <w:rFonts w:cs="Times New Roman"/>
          <w:color w:val="000000" w:themeColor="text1"/>
          <w:szCs w:val="24"/>
        </w:rPr>
        <w:t xml:space="preserve">recommendations of the </w:t>
      </w:r>
      <w:r w:rsidR="00EC0CD0">
        <w:rPr>
          <w:rFonts w:cs="Times New Roman"/>
          <w:color w:val="000000" w:themeColor="text1"/>
          <w:szCs w:val="24"/>
        </w:rPr>
        <w:t>c</w:t>
      </w:r>
      <w:r w:rsidR="00AC296E" w:rsidRPr="00AC296E">
        <w:rPr>
          <w:rFonts w:cs="Times New Roman"/>
          <w:color w:val="000000" w:themeColor="text1"/>
          <w:szCs w:val="24"/>
        </w:rPr>
        <w:t xml:space="preserve">ommission </w:t>
      </w:r>
      <w:r w:rsidR="00BC3016">
        <w:rPr>
          <w:rFonts w:cs="Times New Roman"/>
          <w:color w:val="000000" w:themeColor="text1"/>
          <w:szCs w:val="24"/>
        </w:rPr>
        <w:t>were</w:t>
      </w:r>
      <w:r w:rsidR="00AC296E" w:rsidRPr="00AC296E">
        <w:rPr>
          <w:rFonts w:cs="Times New Roman"/>
          <w:color w:val="000000" w:themeColor="text1"/>
          <w:szCs w:val="24"/>
        </w:rPr>
        <w:t xml:space="preserve"> adopted, it </w:t>
      </w:r>
      <w:r w:rsidR="007D418F">
        <w:rPr>
          <w:rFonts w:cs="Times New Roman"/>
          <w:color w:val="000000" w:themeColor="text1"/>
          <w:szCs w:val="24"/>
        </w:rPr>
        <w:t xml:space="preserve">has </w:t>
      </w:r>
      <w:r w:rsidR="00AC296E" w:rsidRPr="00AC296E">
        <w:rPr>
          <w:rFonts w:cs="Times New Roman"/>
          <w:color w:val="000000" w:themeColor="text1"/>
          <w:szCs w:val="24"/>
        </w:rPr>
        <w:t xml:space="preserve">had a substantial long-term impact on higher education (Gilbert &amp; Heller, 2010). </w:t>
      </w:r>
      <w:r w:rsidR="00650B65" w:rsidRPr="00AC296E">
        <w:rPr>
          <w:rFonts w:cs="Times New Roman"/>
          <w:color w:val="000000" w:themeColor="text1"/>
          <w:szCs w:val="24"/>
        </w:rPr>
        <w:t>Th</w:t>
      </w:r>
      <w:r w:rsidR="00AC296E" w:rsidRPr="00AC296E">
        <w:rPr>
          <w:rFonts w:cs="Times New Roman"/>
          <w:color w:val="000000" w:themeColor="text1"/>
          <w:szCs w:val="24"/>
        </w:rPr>
        <w:t xml:space="preserve">e </w:t>
      </w:r>
      <w:r w:rsidR="00EC0CD0">
        <w:rPr>
          <w:rFonts w:cs="Times New Roman"/>
          <w:color w:val="000000" w:themeColor="text1"/>
          <w:szCs w:val="24"/>
        </w:rPr>
        <w:t>c</w:t>
      </w:r>
      <w:r w:rsidR="00AC296E" w:rsidRPr="00AC296E">
        <w:rPr>
          <w:rFonts w:cs="Times New Roman"/>
          <w:color w:val="000000" w:themeColor="text1"/>
          <w:szCs w:val="24"/>
        </w:rPr>
        <w:t>ommission</w:t>
      </w:r>
      <w:r w:rsidR="00650B65" w:rsidRPr="00AC296E">
        <w:rPr>
          <w:rFonts w:cs="Times New Roman"/>
          <w:color w:val="000000" w:themeColor="text1"/>
          <w:szCs w:val="24"/>
        </w:rPr>
        <w:t xml:space="preserve"> created a lasting effect throughout </w:t>
      </w:r>
      <w:r w:rsidR="00740232">
        <w:rPr>
          <w:rFonts w:cs="Times New Roman"/>
          <w:color w:val="000000" w:themeColor="text1"/>
          <w:szCs w:val="24"/>
        </w:rPr>
        <w:t>subsequent</w:t>
      </w:r>
      <w:r w:rsidR="00650B65" w:rsidRPr="00AC296E">
        <w:rPr>
          <w:rFonts w:cs="Times New Roman"/>
          <w:color w:val="000000" w:themeColor="text1"/>
          <w:szCs w:val="24"/>
        </w:rPr>
        <w:t xml:space="preserve"> administrations</w:t>
      </w:r>
      <w:r w:rsidR="00740232">
        <w:rPr>
          <w:rFonts w:cs="Times New Roman"/>
          <w:color w:val="000000" w:themeColor="text1"/>
          <w:szCs w:val="24"/>
        </w:rPr>
        <w:t>, including those of President Clinton and President Obama</w:t>
      </w:r>
      <w:r w:rsidR="008413ED" w:rsidRPr="00AC296E">
        <w:rPr>
          <w:rFonts w:cs="Times New Roman"/>
          <w:color w:val="000000" w:themeColor="text1"/>
          <w:szCs w:val="24"/>
        </w:rPr>
        <w:t xml:space="preserve"> </w:t>
      </w:r>
      <w:r w:rsidR="00650B65" w:rsidRPr="00AC296E">
        <w:rPr>
          <w:rFonts w:cs="Times New Roman"/>
          <w:color w:val="000000" w:themeColor="text1"/>
          <w:szCs w:val="24"/>
        </w:rPr>
        <w:t>(</w:t>
      </w:r>
      <w:r w:rsidRPr="00AC296E">
        <w:rPr>
          <w:rFonts w:cs="Times New Roman"/>
          <w:color w:val="000000" w:themeColor="text1"/>
          <w:szCs w:val="24"/>
        </w:rPr>
        <w:t xml:space="preserve">Cohen et al., </w:t>
      </w:r>
      <w:r w:rsidR="00650B65" w:rsidRPr="00AC296E">
        <w:rPr>
          <w:rFonts w:cs="Times New Roman"/>
          <w:color w:val="000000" w:themeColor="text1"/>
          <w:szCs w:val="24"/>
        </w:rPr>
        <w:t xml:space="preserve">2014). </w:t>
      </w:r>
      <w:r w:rsidR="00740232">
        <w:rPr>
          <w:rFonts w:cs="Times New Roman"/>
          <w:color w:val="000000" w:themeColor="text1"/>
          <w:szCs w:val="24"/>
        </w:rPr>
        <w:t>These administrations continued to champion the role of community colleges, recognizing their value in national education and workforce initiatives</w:t>
      </w:r>
      <w:r w:rsidR="00C55BAB">
        <w:rPr>
          <w:rFonts w:cs="Times New Roman"/>
          <w:color w:val="000000" w:themeColor="text1"/>
          <w:szCs w:val="24"/>
        </w:rPr>
        <w:t xml:space="preserve"> (Cohen et al., 2014)</w:t>
      </w:r>
      <w:r w:rsidR="00740232">
        <w:rPr>
          <w:rFonts w:cs="Times New Roman"/>
          <w:color w:val="000000" w:themeColor="text1"/>
          <w:szCs w:val="24"/>
        </w:rPr>
        <w:t xml:space="preserve">. </w:t>
      </w:r>
      <w:r w:rsidR="00280C97">
        <w:rPr>
          <w:rFonts w:cs="Times New Roman"/>
          <w:color w:val="000000" w:themeColor="text1"/>
          <w:szCs w:val="24"/>
        </w:rPr>
        <w:t xml:space="preserve">President Obama’s call to increase graduation rates by 2020 put a spotlight on community college’s role toward the economic recovery of our nation (Hofmann, 2012). </w:t>
      </w:r>
      <w:r w:rsidR="001D7F2C">
        <w:rPr>
          <w:rFonts w:cs="Times New Roman"/>
          <w:color w:val="000000" w:themeColor="text1"/>
          <w:szCs w:val="24"/>
        </w:rPr>
        <w:t xml:space="preserve">While </w:t>
      </w:r>
      <w:r w:rsidR="001D7F2C" w:rsidRPr="00015CD1">
        <w:rPr>
          <w:rFonts w:cs="Times New Roman"/>
          <w:color w:val="000000" w:themeColor="text1"/>
          <w:szCs w:val="24"/>
        </w:rPr>
        <w:t xml:space="preserve">early efforts </w:t>
      </w:r>
      <w:r w:rsidR="00BC3016">
        <w:rPr>
          <w:rFonts w:cs="Times New Roman"/>
          <w:color w:val="000000" w:themeColor="text1"/>
          <w:szCs w:val="24"/>
        </w:rPr>
        <w:t>such as</w:t>
      </w:r>
      <w:r w:rsidR="001D7F2C" w:rsidRPr="00015CD1">
        <w:rPr>
          <w:rFonts w:cs="Times New Roman"/>
          <w:color w:val="000000" w:themeColor="text1"/>
          <w:szCs w:val="24"/>
        </w:rPr>
        <w:t xml:space="preserve"> the Truman Commission established the foundation for community colleges as open-access institutions</w:t>
      </w:r>
      <w:r w:rsidR="00C55BAB" w:rsidRPr="00015CD1">
        <w:rPr>
          <w:rFonts w:cs="Times New Roman"/>
          <w:color w:val="000000" w:themeColor="text1"/>
          <w:szCs w:val="24"/>
        </w:rPr>
        <w:t xml:space="preserve"> (Thelin, 2019)</w:t>
      </w:r>
      <w:r w:rsidR="001D7F2C" w:rsidRPr="00015CD1">
        <w:rPr>
          <w:rFonts w:cs="Times New Roman"/>
          <w:color w:val="000000" w:themeColor="text1"/>
          <w:szCs w:val="24"/>
        </w:rPr>
        <w:t xml:space="preserve">, later policy frameworks, such as </w:t>
      </w:r>
      <w:r w:rsidR="00B00B45">
        <w:rPr>
          <w:rFonts w:cs="Times New Roman"/>
          <w:color w:val="000000" w:themeColor="text1"/>
          <w:szCs w:val="24"/>
        </w:rPr>
        <w:t>Every</w:t>
      </w:r>
      <w:r w:rsidR="00084310">
        <w:rPr>
          <w:rFonts w:cs="Times New Roman"/>
          <w:color w:val="000000" w:themeColor="text1"/>
          <w:szCs w:val="24"/>
        </w:rPr>
        <w:t xml:space="preserve"> Student Succeeds Act (ESSA),</w:t>
      </w:r>
      <w:r w:rsidR="001D7F2C" w:rsidRPr="00015CD1">
        <w:rPr>
          <w:rFonts w:cs="Times New Roman"/>
          <w:color w:val="000000" w:themeColor="text1"/>
          <w:szCs w:val="24"/>
        </w:rPr>
        <w:t xml:space="preserve"> promoted by the Obama administration, shifted the focus from access alone to successful completion</w:t>
      </w:r>
      <w:r w:rsidR="00C55BAB" w:rsidRPr="00015CD1">
        <w:rPr>
          <w:rFonts w:cs="Times New Roman"/>
          <w:color w:val="000000" w:themeColor="text1"/>
          <w:szCs w:val="24"/>
        </w:rPr>
        <w:t xml:space="preserve"> (National Archives, n.d.-a; National Archives, n.d.-b)</w:t>
      </w:r>
      <w:r w:rsidR="001D7F2C" w:rsidRPr="00015CD1">
        <w:rPr>
          <w:rFonts w:cs="Times New Roman"/>
          <w:color w:val="000000" w:themeColor="text1"/>
          <w:szCs w:val="24"/>
        </w:rPr>
        <w:t>. This</w:t>
      </w:r>
      <w:r w:rsidR="001D7F2C">
        <w:rPr>
          <w:rFonts w:cs="Times New Roman"/>
          <w:color w:val="000000" w:themeColor="text1"/>
          <w:szCs w:val="24"/>
        </w:rPr>
        <w:t xml:space="preserve"> evolution marked the beginning of what became known as the </w:t>
      </w:r>
      <w:r w:rsidR="00EC0CD0">
        <w:rPr>
          <w:rFonts w:cs="Times New Roman"/>
          <w:color w:val="000000" w:themeColor="text1"/>
          <w:szCs w:val="24"/>
        </w:rPr>
        <w:t>c</w:t>
      </w:r>
      <w:r w:rsidR="001D7F2C">
        <w:rPr>
          <w:rFonts w:cs="Times New Roman"/>
          <w:color w:val="000000" w:themeColor="text1"/>
          <w:szCs w:val="24"/>
        </w:rPr>
        <w:t xml:space="preserve">ompletion </w:t>
      </w:r>
      <w:r w:rsidR="00EC0CD0">
        <w:rPr>
          <w:rFonts w:cs="Times New Roman"/>
          <w:color w:val="000000" w:themeColor="text1"/>
          <w:szCs w:val="24"/>
        </w:rPr>
        <w:t>a</w:t>
      </w:r>
      <w:r w:rsidR="001D7F2C">
        <w:rPr>
          <w:rFonts w:cs="Times New Roman"/>
          <w:color w:val="000000" w:themeColor="text1"/>
          <w:szCs w:val="24"/>
        </w:rPr>
        <w:t>genda. As Karp (2015) emphasize</w:t>
      </w:r>
      <w:r w:rsidR="002B26EE">
        <w:rPr>
          <w:rFonts w:cs="Times New Roman"/>
          <w:color w:val="000000" w:themeColor="text1"/>
          <w:szCs w:val="24"/>
        </w:rPr>
        <w:t>d</w:t>
      </w:r>
      <w:r w:rsidR="001D7F2C">
        <w:rPr>
          <w:rFonts w:cs="Times New Roman"/>
          <w:color w:val="000000" w:themeColor="text1"/>
          <w:szCs w:val="24"/>
        </w:rPr>
        <w:t xml:space="preserve">, the completion agenda aims not only to raise graduation rates but to close persistent equity gaps across demographic and economic lines, a critical evolution in national postsecondary goals. </w:t>
      </w:r>
      <w:r w:rsidR="007D418F" w:rsidRPr="00E25D5B">
        <w:rPr>
          <w:rFonts w:cs="Times New Roman"/>
          <w:color w:val="000000" w:themeColor="text1"/>
          <w:szCs w:val="24"/>
        </w:rPr>
        <w:t>E</w:t>
      </w:r>
      <w:r w:rsidR="00996E14" w:rsidRPr="00E25D5B">
        <w:rPr>
          <w:rFonts w:cs="Times New Roman"/>
          <w:color w:val="000000" w:themeColor="text1"/>
          <w:szCs w:val="24"/>
        </w:rPr>
        <w:t>ducation reform</w:t>
      </w:r>
      <w:r w:rsidR="00A471F6" w:rsidRPr="00E25D5B">
        <w:rPr>
          <w:rFonts w:cs="Times New Roman"/>
          <w:color w:val="000000" w:themeColor="text1"/>
          <w:szCs w:val="24"/>
        </w:rPr>
        <w:t xml:space="preserve"> </w:t>
      </w:r>
      <w:r w:rsidR="00996E14" w:rsidRPr="00E25D5B">
        <w:rPr>
          <w:rFonts w:cs="Times New Roman"/>
          <w:color w:val="000000" w:themeColor="text1"/>
          <w:szCs w:val="24"/>
        </w:rPr>
        <w:t>in Tennessee</w:t>
      </w:r>
      <w:r w:rsidR="006D3D83" w:rsidRPr="00E25D5B">
        <w:rPr>
          <w:rFonts w:cs="Times New Roman"/>
          <w:color w:val="000000" w:themeColor="text1"/>
          <w:szCs w:val="24"/>
        </w:rPr>
        <w:t xml:space="preserve">, </w:t>
      </w:r>
      <w:r w:rsidR="00A471F6" w:rsidRPr="00E25D5B">
        <w:rPr>
          <w:rFonts w:cs="Times New Roman"/>
          <w:color w:val="000000" w:themeColor="text1"/>
          <w:szCs w:val="24"/>
        </w:rPr>
        <w:t>as outlined in</w:t>
      </w:r>
      <w:r w:rsidR="006D3D83" w:rsidRPr="00E25D5B">
        <w:rPr>
          <w:rFonts w:cs="Times New Roman"/>
          <w:color w:val="000000" w:themeColor="text1"/>
          <w:szCs w:val="24"/>
        </w:rPr>
        <w:t xml:space="preserve"> TBR’s 2015-25 Strategic Plan</w:t>
      </w:r>
      <w:r w:rsidR="00A471F6" w:rsidRPr="00E25D5B">
        <w:rPr>
          <w:rFonts w:cs="Times New Roman"/>
          <w:color w:val="000000" w:themeColor="text1"/>
          <w:szCs w:val="24"/>
        </w:rPr>
        <w:t>,</w:t>
      </w:r>
      <w:r w:rsidR="00996E14" w:rsidRPr="00E25D5B">
        <w:rPr>
          <w:rFonts w:cs="Times New Roman"/>
          <w:color w:val="000000" w:themeColor="text1"/>
          <w:szCs w:val="24"/>
        </w:rPr>
        <w:t xml:space="preserve"> address</w:t>
      </w:r>
      <w:r w:rsidR="00A471F6" w:rsidRPr="00E25D5B">
        <w:rPr>
          <w:rFonts w:cs="Times New Roman"/>
          <w:color w:val="000000" w:themeColor="text1"/>
          <w:szCs w:val="24"/>
        </w:rPr>
        <w:t>es</w:t>
      </w:r>
      <w:r w:rsidR="00996E14" w:rsidRPr="00E25D5B">
        <w:rPr>
          <w:rFonts w:cs="Times New Roman"/>
          <w:color w:val="000000" w:themeColor="text1"/>
          <w:szCs w:val="24"/>
        </w:rPr>
        <w:t xml:space="preserve"> attainment gaps for underrepresented students</w:t>
      </w:r>
      <w:r w:rsidR="00A471F6" w:rsidRPr="00E25D5B">
        <w:rPr>
          <w:rFonts w:cs="Times New Roman"/>
          <w:color w:val="000000" w:themeColor="text1"/>
          <w:szCs w:val="24"/>
        </w:rPr>
        <w:t xml:space="preserve"> while promoting</w:t>
      </w:r>
      <w:r w:rsidR="00996E14" w:rsidRPr="00E25D5B">
        <w:rPr>
          <w:rFonts w:cs="Times New Roman"/>
          <w:color w:val="000000" w:themeColor="text1"/>
          <w:szCs w:val="24"/>
        </w:rPr>
        <w:t xml:space="preserve"> access, equity, and inclusion in higher education</w:t>
      </w:r>
      <w:r w:rsidR="00E25D5B" w:rsidRPr="00E25D5B">
        <w:rPr>
          <w:rFonts w:cs="Times New Roman"/>
          <w:color w:val="000000" w:themeColor="text1"/>
          <w:szCs w:val="24"/>
        </w:rPr>
        <w:t xml:space="preserve"> to create</w:t>
      </w:r>
      <w:r w:rsidR="00996E14" w:rsidRPr="00E25D5B">
        <w:rPr>
          <w:rFonts w:cs="Times New Roman"/>
          <w:color w:val="000000" w:themeColor="text1"/>
          <w:szCs w:val="24"/>
        </w:rPr>
        <w:t xml:space="preserve"> opportunities </w:t>
      </w:r>
      <w:r w:rsidR="00E25D5B" w:rsidRPr="00E25D5B">
        <w:rPr>
          <w:rFonts w:cs="Times New Roman"/>
          <w:color w:val="000000" w:themeColor="text1"/>
          <w:szCs w:val="24"/>
        </w:rPr>
        <w:t>for</w:t>
      </w:r>
      <w:r w:rsidR="00A471F6" w:rsidRPr="00E25D5B">
        <w:rPr>
          <w:rFonts w:cs="Times New Roman"/>
          <w:color w:val="000000" w:themeColor="text1"/>
          <w:szCs w:val="24"/>
        </w:rPr>
        <w:t xml:space="preserve"> </w:t>
      </w:r>
      <w:r w:rsidR="00996E14" w:rsidRPr="00E25D5B">
        <w:rPr>
          <w:rFonts w:cs="Times New Roman"/>
          <w:color w:val="000000" w:themeColor="text1"/>
          <w:szCs w:val="24"/>
        </w:rPr>
        <w:t>college degree</w:t>
      </w:r>
      <w:r w:rsidR="00A471F6">
        <w:rPr>
          <w:rFonts w:cs="Times New Roman"/>
          <w:color w:val="000000" w:themeColor="text1"/>
          <w:szCs w:val="24"/>
        </w:rPr>
        <w:t xml:space="preserve"> attainment</w:t>
      </w:r>
      <w:r w:rsidR="00312D91" w:rsidRPr="00834703">
        <w:rPr>
          <w:rFonts w:cs="Times New Roman"/>
          <w:color w:val="000000" w:themeColor="text1"/>
          <w:szCs w:val="24"/>
        </w:rPr>
        <w:t xml:space="preserve"> </w:t>
      </w:r>
      <w:r w:rsidR="00312D91" w:rsidRPr="00A737EC">
        <w:rPr>
          <w:rFonts w:cs="Times New Roman"/>
          <w:color w:val="000000" w:themeColor="text1"/>
          <w:szCs w:val="24"/>
        </w:rPr>
        <w:t>(</w:t>
      </w:r>
      <w:r w:rsidR="00834703" w:rsidRPr="00507579">
        <w:rPr>
          <w:rFonts w:cs="Times New Roman"/>
          <w:color w:val="000000" w:themeColor="text1"/>
          <w:szCs w:val="24"/>
        </w:rPr>
        <w:t xml:space="preserve">TBR, </w:t>
      </w:r>
      <w:r w:rsidR="00507579" w:rsidRPr="00507579">
        <w:rPr>
          <w:rFonts w:cs="Times New Roman"/>
          <w:color w:val="000000" w:themeColor="text1"/>
          <w:szCs w:val="24"/>
        </w:rPr>
        <w:t>2022</w:t>
      </w:r>
      <w:r w:rsidR="00834703" w:rsidRPr="00507579">
        <w:rPr>
          <w:rFonts w:cs="Times New Roman"/>
          <w:color w:val="000000" w:themeColor="text1"/>
          <w:szCs w:val="24"/>
        </w:rPr>
        <w:t xml:space="preserve">; </w:t>
      </w:r>
      <w:r w:rsidR="00CD13B4">
        <w:rPr>
          <w:rFonts w:cs="Times New Roman"/>
          <w:color w:val="000000" w:themeColor="text1"/>
          <w:szCs w:val="24"/>
        </w:rPr>
        <w:t xml:space="preserve">THEC, n.d.-a; </w:t>
      </w:r>
      <w:r w:rsidR="00834703" w:rsidRPr="00507579">
        <w:rPr>
          <w:rFonts w:cs="Times New Roman"/>
          <w:color w:val="000000" w:themeColor="text1"/>
          <w:szCs w:val="24"/>
        </w:rPr>
        <w:t>T</w:t>
      </w:r>
      <w:r w:rsidR="00507579" w:rsidRPr="00507579">
        <w:rPr>
          <w:rFonts w:cs="Times New Roman"/>
          <w:color w:val="000000" w:themeColor="text1"/>
          <w:szCs w:val="24"/>
        </w:rPr>
        <w:t>HEC</w:t>
      </w:r>
      <w:r w:rsidR="00834703" w:rsidRPr="00507579">
        <w:rPr>
          <w:rFonts w:cs="Times New Roman"/>
          <w:color w:val="000000" w:themeColor="text1"/>
          <w:szCs w:val="24"/>
        </w:rPr>
        <w:t>,</w:t>
      </w:r>
      <w:r w:rsidR="00F03CFE" w:rsidRPr="00507579">
        <w:rPr>
          <w:rFonts w:cs="Times New Roman"/>
          <w:color w:val="000000" w:themeColor="text1"/>
          <w:szCs w:val="24"/>
        </w:rPr>
        <w:t xml:space="preserve"> </w:t>
      </w:r>
      <w:r w:rsidR="00507579" w:rsidRPr="00507579">
        <w:rPr>
          <w:rFonts w:cs="Times New Roman"/>
          <w:color w:val="000000" w:themeColor="text1"/>
          <w:szCs w:val="24"/>
        </w:rPr>
        <w:t>2020</w:t>
      </w:r>
      <w:r w:rsidR="00834703" w:rsidRPr="00507579">
        <w:rPr>
          <w:rFonts w:cs="Times New Roman"/>
          <w:color w:val="000000" w:themeColor="text1"/>
          <w:szCs w:val="24"/>
        </w:rPr>
        <w:t>; T</w:t>
      </w:r>
      <w:r w:rsidR="00507579" w:rsidRPr="00507579">
        <w:rPr>
          <w:rFonts w:cs="Times New Roman"/>
          <w:color w:val="000000" w:themeColor="text1"/>
          <w:szCs w:val="24"/>
        </w:rPr>
        <w:t>ennessee State Government</w:t>
      </w:r>
      <w:r w:rsidR="00834703" w:rsidRPr="00507579">
        <w:rPr>
          <w:rFonts w:cs="Times New Roman"/>
          <w:color w:val="000000" w:themeColor="text1"/>
          <w:szCs w:val="24"/>
        </w:rPr>
        <w:t xml:space="preserve">, </w:t>
      </w:r>
      <w:r w:rsidR="00507579" w:rsidRPr="00507579">
        <w:rPr>
          <w:rFonts w:cs="Times New Roman"/>
          <w:color w:val="000000" w:themeColor="text1"/>
          <w:szCs w:val="24"/>
        </w:rPr>
        <w:t>2018</w:t>
      </w:r>
      <w:r w:rsidR="00834703" w:rsidRPr="00507579">
        <w:rPr>
          <w:rFonts w:cs="Times New Roman"/>
          <w:color w:val="000000" w:themeColor="text1"/>
          <w:szCs w:val="24"/>
        </w:rPr>
        <w:t>)</w:t>
      </w:r>
      <w:r w:rsidR="00996E14" w:rsidRPr="00507579">
        <w:rPr>
          <w:rFonts w:cs="Times New Roman"/>
          <w:color w:val="000000" w:themeColor="text1"/>
          <w:szCs w:val="24"/>
        </w:rPr>
        <w:t>.</w:t>
      </w:r>
      <w:r w:rsidR="00996E14" w:rsidRPr="00AC296E">
        <w:rPr>
          <w:rFonts w:cs="Times New Roman"/>
          <w:color w:val="000000" w:themeColor="text1"/>
          <w:szCs w:val="24"/>
        </w:rPr>
        <w:t xml:space="preserve"> Many programs have been developed, as well as financial support for students to help bridge the gap between high school and postsecondary education</w:t>
      </w:r>
      <w:r w:rsidR="00A737EC">
        <w:rPr>
          <w:rFonts w:cs="Times New Roman"/>
          <w:color w:val="000000" w:themeColor="text1"/>
          <w:szCs w:val="24"/>
        </w:rPr>
        <w:t xml:space="preserve"> </w:t>
      </w:r>
      <w:r w:rsidR="00507579" w:rsidRPr="00A737EC">
        <w:rPr>
          <w:rFonts w:cs="Times New Roman"/>
          <w:color w:val="000000" w:themeColor="text1"/>
          <w:szCs w:val="24"/>
        </w:rPr>
        <w:t>(</w:t>
      </w:r>
      <w:r w:rsidR="00507579" w:rsidRPr="00507579">
        <w:rPr>
          <w:rFonts w:cs="Times New Roman"/>
          <w:color w:val="000000" w:themeColor="text1"/>
          <w:szCs w:val="24"/>
        </w:rPr>
        <w:t>TBR, 2022; THEC, 2020; Tennessee State Government, 2018).</w:t>
      </w:r>
      <w:r w:rsidR="00BF3DD5">
        <w:rPr>
          <w:rFonts w:cs="Times New Roman"/>
          <w:color w:val="000000" w:themeColor="text1"/>
          <w:szCs w:val="24"/>
        </w:rPr>
        <w:t xml:space="preserve"> </w:t>
      </w:r>
      <w:r w:rsidR="00480CF2">
        <w:rPr>
          <w:rFonts w:cs="Times New Roman"/>
          <w:color w:val="000000" w:themeColor="text1"/>
          <w:szCs w:val="24"/>
        </w:rPr>
        <w:t xml:space="preserve">While programs in some areas target more advanced students, </w:t>
      </w:r>
      <w:bookmarkStart w:id="34" w:name="_Hlk210682126"/>
      <w:r w:rsidR="00480CF2">
        <w:rPr>
          <w:rFonts w:cs="Times New Roman"/>
          <w:color w:val="000000" w:themeColor="text1"/>
          <w:szCs w:val="24"/>
        </w:rPr>
        <w:t xml:space="preserve">recruitment of underserved, </w:t>
      </w:r>
      <w:r w:rsidR="00480CF2">
        <w:rPr>
          <w:rFonts w:cs="Times New Roman"/>
          <w:color w:val="000000" w:themeColor="text1"/>
          <w:szCs w:val="24"/>
        </w:rPr>
        <w:lastRenderedPageBreak/>
        <w:t xml:space="preserve">middle-achieving, and first-generation students has been the national and state focus (Community College Research Center [CCRC], 2012). </w:t>
      </w:r>
      <w:bookmarkEnd w:id="34"/>
    </w:p>
    <w:p w14:paraId="10FB8D10" w14:textId="45A293BD" w:rsidR="00280C97" w:rsidRDefault="00734B0B" w:rsidP="00996E14">
      <w:pPr>
        <w:ind w:firstLine="720"/>
        <w:rPr>
          <w:rFonts w:cs="Times New Roman"/>
          <w:color w:val="000000" w:themeColor="text1"/>
          <w:szCs w:val="24"/>
        </w:rPr>
      </w:pPr>
      <w:r w:rsidRPr="00734B0B">
        <w:rPr>
          <w:rFonts w:cs="Times New Roman"/>
          <w:color w:val="000000" w:themeColor="text1"/>
          <w:szCs w:val="24"/>
        </w:rPr>
        <w:t xml:space="preserve">Several </w:t>
      </w:r>
      <w:r w:rsidR="002B26EE">
        <w:rPr>
          <w:rFonts w:cs="Times New Roman"/>
          <w:color w:val="000000" w:themeColor="text1"/>
          <w:szCs w:val="24"/>
        </w:rPr>
        <w:t>factors</w:t>
      </w:r>
      <w:r w:rsidRPr="00734B0B">
        <w:rPr>
          <w:rFonts w:cs="Times New Roman"/>
          <w:color w:val="000000" w:themeColor="text1"/>
          <w:szCs w:val="24"/>
        </w:rPr>
        <w:t xml:space="preserve"> led to the growth of colleges across the country. The most prominent contribution to the rise of community colleges </w:t>
      </w:r>
      <w:r w:rsidRPr="00391DAA">
        <w:rPr>
          <w:rFonts w:cs="Times New Roman"/>
          <w:color w:val="000000" w:themeColor="text1"/>
          <w:szCs w:val="24"/>
        </w:rPr>
        <w:t>“were the need for workers trained to operate the nations expanding industries; the lengthened period of adolescence, which mandated custodial care of the young for longer time; and the drive for social equality and greater access to higher education”</w:t>
      </w:r>
      <w:r w:rsidRPr="00734B0B">
        <w:rPr>
          <w:rFonts w:cs="Times New Roman"/>
          <w:color w:val="000000" w:themeColor="text1"/>
          <w:szCs w:val="24"/>
        </w:rPr>
        <w:t xml:space="preserve"> (Cohen et al., 2014</w:t>
      </w:r>
      <w:r w:rsidR="00391DAA">
        <w:rPr>
          <w:rFonts w:cs="Times New Roman"/>
          <w:color w:val="000000" w:themeColor="text1"/>
          <w:szCs w:val="24"/>
        </w:rPr>
        <w:t xml:space="preserve"> p. 1</w:t>
      </w:r>
      <w:r w:rsidRPr="00734B0B">
        <w:rPr>
          <w:rFonts w:cs="Times New Roman"/>
          <w:color w:val="000000" w:themeColor="text1"/>
          <w:szCs w:val="24"/>
        </w:rPr>
        <w:t>). Yet, the simplest reason for the growth of community colleges was the increasing number of demands placed on schools at every level (Cohen et al., 2014).</w:t>
      </w:r>
      <w:r w:rsidR="0046566C">
        <w:rPr>
          <w:rFonts w:cs="Times New Roman"/>
          <w:color w:val="000000" w:themeColor="text1"/>
          <w:szCs w:val="24"/>
        </w:rPr>
        <w:t xml:space="preserve"> </w:t>
      </w:r>
      <w:r w:rsidR="0046566C" w:rsidRPr="0046566C">
        <w:rPr>
          <w:rFonts w:cs="Times New Roman"/>
          <w:color w:val="000000" w:themeColor="text1"/>
          <w:szCs w:val="24"/>
        </w:rPr>
        <w:t>I</w:t>
      </w:r>
      <w:r w:rsidR="00CE45F0" w:rsidRPr="0046566C">
        <w:rPr>
          <w:rFonts w:cs="Times New Roman"/>
          <w:color w:val="000000" w:themeColor="text1"/>
          <w:szCs w:val="24"/>
        </w:rPr>
        <w:t xml:space="preserve">nstitutions face </w:t>
      </w:r>
      <w:r w:rsidR="0046566C" w:rsidRPr="0046566C">
        <w:rPr>
          <w:rFonts w:cs="Times New Roman"/>
          <w:color w:val="000000" w:themeColor="text1"/>
          <w:szCs w:val="24"/>
        </w:rPr>
        <w:t xml:space="preserve">many </w:t>
      </w:r>
      <w:r w:rsidR="00CE45F0" w:rsidRPr="0046566C">
        <w:rPr>
          <w:rFonts w:cs="Times New Roman"/>
          <w:color w:val="000000" w:themeColor="text1"/>
          <w:szCs w:val="24"/>
        </w:rPr>
        <w:t>pressure</w:t>
      </w:r>
      <w:r w:rsidR="0046566C" w:rsidRPr="0046566C">
        <w:rPr>
          <w:rFonts w:cs="Times New Roman"/>
          <w:color w:val="000000" w:themeColor="text1"/>
          <w:szCs w:val="24"/>
        </w:rPr>
        <w:t>s</w:t>
      </w:r>
      <w:r w:rsidR="00CE45F0" w:rsidRPr="0046566C">
        <w:rPr>
          <w:rFonts w:cs="Times New Roman"/>
          <w:color w:val="000000" w:themeColor="text1"/>
          <w:szCs w:val="24"/>
        </w:rPr>
        <w:t xml:space="preserve"> from federal, state, and local governments to demonstrate </w:t>
      </w:r>
      <w:r w:rsidR="00CE45F0" w:rsidRPr="001D3FD5">
        <w:rPr>
          <w:rFonts w:cs="Times New Roman"/>
          <w:color w:val="000000" w:themeColor="text1"/>
          <w:szCs w:val="24"/>
        </w:rPr>
        <w:t>performance and accountability</w:t>
      </w:r>
      <w:r w:rsidR="005E4322" w:rsidRPr="001D3FD5">
        <w:rPr>
          <w:rFonts w:cs="Times New Roman"/>
          <w:color w:val="000000" w:themeColor="text1"/>
          <w:szCs w:val="24"/>
        </w:rPr>
        <w:t xml:space="preserve"> (</w:t>
      </w:r>
      <w:r w:rsidR="002C4EBC" w:rsidRPr="001D3FD5">
        <w:rPr>
          <w:rFonts w:cs="Times New Roman"/>
          <w:color w:val="000000" w:themeColor="text1"/>
          <w:szCs w:val="24"/>
        </w:rPr>
        <w:t>Advance CTE</w:t>
      </w:r>
      <w:r w:rsidR="00A31B52">
        <w:rPr>
          <w:rFonts w:cs="Times New Roman"/>
          <w:color w:val="000000" w:themeColor="text1"/>
          <w:szCs w:val="24"/>
        </w:rPr>
        <w:t>, 2025</w:t>
      </w:r>
      <w:r w:rsidR="002C4EBC" w:rsidRPr="001D3FD5">
        <w:rPr>
          <w:rFonts w:cs="Times New Roman"/>
          <w:color w:val="000000" w:themeColor="text1"/>
          <w:szCs w:val="24"/>
        </w:rPr>
        <w:t xml:space="preserve">; </w:t>
      </w:r>
      <w:r w:rsidR="005E4322" w:rsidRPr="001D3FD5">
        <w:rPr>
          <w:rFonts w:cs="Times New Roman"/>
          <w:color w:val="000000" w:themeColor="text1"/>
          <w:szCs w:val="24"/>
        </w:rPr>
        <w:t>Dougherty &amp; Reddy, 2011)</w:t>
      </w:r>
      <w:r w:rsidR="00CE45F0" w:rsidRPr="001D3FD5">
        <w:rPr>
          <w:rFonts w:cs="Times New Roman"/>
          <w:color w:val="000000" w:themeColor="text1"/>
          <w:szCs w:val="24"/>
        </w:rPr>
        <w:t xml:space="preserve">. </w:t>
      </w:r>
      <w:r w:rsidRPr="008B0396">
        <w:rPr>
          <w:rFonts w:cs="Times New Roman"/>
          <w:color w:val="000000" w:themeColor="text1"/>
          <w:szCs w:val="24"/>
        </w:rPr>
        <w:t>A report published in September 2006 by the U.S. Department of Education, under Secretary Margaret Spellings, brought much attention to the nation's dilemma of struggling college retention and graduation rates (</w:t>
      </w:r>
      <w:r w:rsidR="00CA5E89" w:rsidRPr="008B0396">
        <w:rPr>
          <w:rFonts w:cs="Times New Roman"/>
          <w:color w:val="000000" w:themeColor="text1"/>
          <w:szCs w:val="24"/>
        </w:rPr>
        <w:t>Swanson, 20</w:t>
      </w:r>
      <w:r w:rsidR="00CE7B70" w:rsidRPr="008B0396">
        <w:rPr>
          <w:rFonts w:cs="Times New Roman"/>
          <w:color w:val="000000" w:themeColor="text1"/>
          <w:szCs w:val="24"/>
        </w:rPr>
        <w:t>16</w:t>
      </w:r>
      <w:r w:rsidRPr="008B0396">
        <w:rPr>
          <w:rFonts w:cs="Times New Roman"/>
          <w:color w:val="000000" w:themeColor="text1"/>
          <w:szCs w:val="24"/>
        </w:rPr>
        <w:t>).</w:t>
      </w:r>
      <w:r w:rsidRPr="00734B0B">
        <w:rPr>
          <w:rFonts w:cs="Times New Roman"/>
          <w:color w:val="000000" w:themeColor="text1"/>
          <w:szCs w:val="24"/>
        </w:rPr>
        <w:t xml:space="preserve"> </w:t>
      </w:r>
      <w:r w:rsidR="00280C97">
        <w:rPr>
          <w:rFonts w:cs="Times New Roman"/>
          <w:color w:val="000000" w:themeColor="text1"/>
          <w:szCs w:val="24"/>
        </w:rPr>
        <w:t>With the push to prepare high school students for postsecondary success, the addition of state policies</w:t>
      </w:r>
      <w:r w:rsidR="00AF74DF">
        <w:rPr>
          <w:rFonts w:cs="Times New Roman"/>
          <w:color w:val="000000" w:themeColor="text1"/>
          <w:szCs w:val="24"/>
        </w:rPr>
        <w:t xml:space="preserve"> and</w:t>
      </w:r>
      <w:r w:rsidR="00280C97">
        <w:rPr>
          <w:rFonts w:cs="Times New Roman"/>
          <w:color w:val="000000" w:themeColor="text1"/>
          <w:szCs w:val="24"/>
        </w:rPr>
        <w:t xml:space="preserve"> reform</w:t>
      </w:r>
      <w:r w:rsidR="00AF74DF">
        <w:rPr>
          <w:rFonts w:cs="Times New Roman"/>
          <w:color w:val="000000" w:themeColor="text1"/>
          <w:szCs w:val="24"/>
        </w:rPr>
        <w:t xml:space="preserve"> shifted</w:t>
      </w:r>
      <w:r w:rsidR="00280C97">
        <w:rPr>
          <w:rFonts w:cs="Times New Roman"/>
          <w:color w:val="000000" w:themeColor="text1"/>
          <w:szCs w:val="24"/>
        </w:rPr>
        <w:t xml:space="preserve"> college completion </w:t>
      </w:r>
      <w:r w:rsidR="00AF74DF">
        <w:rPr>
          <w:rFonts w:cs="Times New Roman"/>
          <w:color w:val="000000" w:themeColor="text1"/>
          <w:szCs w:val="24"/>
        </w:rPr>
        <w:t>to</w:t>
      </w:r>
      <w:r w:rsidR="00280C97">
        <w:rPr>
          <w:rFonts w:cs="Times New Roman"/>
          <w:color w:val="000000" w:themeColor="text1"/>
          <w:szCs w:val="24"/>
        </w:rPr>
        <w:t xml:space="preserve"> the forefront of national conversation for students and the global economy of the United States (Hoffman, 2012). </w:t>
      </w:r>
    </w:p>
    <w:p w14:paraId="329BADF4" w14:textId="731D0893" w:rsidR="008E5B87" w:rsidRPr="00E3743C" w:rsidRDefault="00A61FC8" w:rsidP="00996E14">
      <w:pPr>
        <w:ind w:firstLine="720"/>
        <w:rPr>
          <w:rFonts w:cs="Times New Roman"/>
          <w:color w:val="000000" w:themeColor="text1"/>
          <w:szCs w:val="24"/>
        </w:rPr>
      </w:pPr>
      <w:r>
        <w:rPr>
          <w:rFonts w:cs="Times New Roman"/>
          <w:color w:val="000000" w:themeColor="text1"/>
          <w:szCs w:val="24"/>
        </w:rPr>
        <w:t>C</w:t>
      </w:r>
      <w:r w:rsidR="00734B0B" w:rsidRPr="00734B0B">
        <w:rPr>
          <w:rFonts w:cs="Times New Roman"/>
          <w:color w:val="000000" w:themeColor="text1"/>
          <w:szCs w:val="24"/>
        </w:rPr>
        <w:t xml:space="preserve">ollege tuition costs, the lack of quality and breadth of high school courses, and the problematic transition to college hindered the entrance and persistence of those students within academia (Edmonds, 2016). </w:t>
      </w:r>
      <w:r w:rsidR="00BC3230">
        <w:rPr>
          <w:rFonts w:cs="Times New Roman"/>
          <w:color w:val="000000" w:themeColor="text1"/>
          <w:szCs w:val="24"/>
        </w:rPr>
        <w:t xml:space="preserve">Cost of college </w:t>
      </w:r>
      <w:r w:rsidR="00E11332">
        <w:rPr>
          <w:rFonts w:cs="Times New Roman"/>
          <w:color w:val="000000" w:themeColor="text1"/>
          <w:szCs w:val="24"/>
        </w:rPr>
        <w:t xml:space="preserve">and financial fragility </w:t>
      </w:r>
      <w:r w:rsidR="00BC2F99">
        <w:rPr>
          <w:rFonts w:cs="Times New Roman"/>
          <w:color w:val="000000" w:themeColor="text1"/>
          <w:szCs w:val="24"/>
        </w:rPr>
        <w:t>can be</w:t>
      </w:r>
      <w:r w:rsidR="00BC3230">
        <w:rPr>
          <w:rFonts w:cs="Times New Roman"/>
          <w:color w:val="000000" w:themeColor="text1"/>
          <w:szCs w:val="24"/>
        </w:rPr>
        <w:t xml:space="preserve"> a barrier for many</w:t>
      </w:r>
      <w:r w:rsidR="00422F95">
        <w:rPr>
          <w:rFonts w:cs="Times New Roman"/>
          <w:color w:val="000000" w:themeColor="text1"/>
          <w:szCs w:val="24"/>
        </w:rPr>
        <w:t xml:space="preserve"> (</w:t>
      </w:r>
      <w:r w:rsidR="006E1A12">
        <w:rPr>
          <w:rFonts w:cs="Times New Roman"/>
          <w:color w:val="000000" w:themeColor="text1"/>
          <w:szCs w:val="24"/>
        </w:rPr>
        <w:t>Ellis</w:t>
      </w:r>
      <w:r w:rsidR="00422F95">
        <w:rPr>
          <w:rFonts w:cs="Times New Roman"/>
          <w:color w:val="000000" w:themeColor="text1"/>
          <w:szCs w:val="24"/>
        </w:rPr>
        <w:t xml:space="preserve"> et al., 2025; </w:t>
      </w:r>
      <w:r w:rsidR="006E1A12">
        <w:rPr>
          <w:rFonts w:cs="Times New Roman"/>
          <w:color w:val="000000" w:themeColor="text1"/>
          <w:szCs w:val="24"/>
        </w:rPr>
        <w:t>Fletcher</w:t>
      </w:r>
      <w:r w:rsidR="00422F95">
        <w:rPr>
          <w:rFonts w:cs="Times New Roman"/>
          <w:color w:val="000000" w:themeColor="text1"/>
          <w:szCs w:val="24"/>
        </w:rPr>
        <w:t xml:space="preserve"> et al., 2025; Woodhouse, 2024</w:t>
      </w:r>
      <w:r w:rsidR="009F713B">
        <w:rPr>
          <w:rFonts w:cs="Times New Roman"/>
          <w:color w:val="000000" w:themeColor="text1"/>
          <w:szCs w:val="24"/>
        </w:rPr>
        <w:t>; Young, 2021</w:t>
      </w:r>
      <w:r w:rsidR="00422F95">
        <w:rPr>
          <w:rFonts w:cs="Times New Roman"/>
          <w:color w:val="000000" w:themeColor="text1"/>
          <w:szCs w:val="24"/>
        </w:rPr>
        <w:t>).</w:t>
      </w:r>
      <w:r w:rsidR="00633AC0">
        <w:rPr>
          <w:rFonts w:cs="Times New Roman"/>
          <w:color w:val="000000" w:themeColor="text1"/>
          <w:szCs w:val="24"/>
        </w:rPr>
        <w:t xml:space="preserve"> </w:t>
      </w:r>
      <w:r w:rsidR="00734B0B" w:rsidRPr="00734B0B">
        <w:rPr>
          <w:rFonts w:cs="Times New Roman"/>
          <w:color w:val="000000" w:themeColor="text1"/>
          <w:szCs w:val="24"/>
        </w:rPr>
        <w:t xml:space="preserve">Tennessee’s </w:t>
      </w:r>
      <w:r w:rsidR="00EC0CD0">
        <w:rPr>
          <w:rFonts w:cs="Times New Roman"/>
          <w:color w:val="000000" w:themeColor="text1"/>
          <w:szCs w:val="24"/>
        </w:rPr>
        <w:t>d</w:t>
      </w:r>
      <w:r w:rsidR="00734B0B" w:rsidRPr="00734B0B">
        <w:rPr>
          <w:rFonts w:cs="Times New Roman"/>
          <w:color w:val="000000" w:themeColor="text1"/>
          <w:szCs w:val="24"/>
        </w:rPr>
        <w:t xml:space="preserve">ual </w:t>
      </w:r>
      <w:r w:rsidR="00EC0CD0">
        <w:rPr>
          <w:rFonts w:cs="Times New Roman"/>
          <w:color w:val="000000" w:themeColor="text1"/>
          <w:szCs w:val="24"/>
        </w:rPr>
        <w:t>e</w:t>
      </w:r>
      <w:r w:rsidR="00734B0B" w:rsidRPr="00734B0B">
        <w:rPr>
          <w:rFonts w:cs="Times New Roman"/>
          <w:color w:val="000000" w:themeColor="text1"/>
          <w:szCs w:val="24"/>
        </w:rPr>
        <w:t xml:space="preserve">nrollment </w:t>
      </w:r>
      <w:r w:rsidR="00EC0CD0">
        <w:rPr>
          <w:rFonts w:cs="Times New Roman"/>
          <w:color w:val="000000" w:themeColor="text1"/>
          <w:szCs w:val="24"/>
        </w:rPr>
        <w:t>g</w:t>
      </w:r>
      <w:r w:rsidR="00734B0B" w:rsidRPr="00734B0B">
        <w:rPr>
          <w:rFonts w:cs="Times New Roman"/>
          <w:color w:val="000000" w:themeColor="text1"/>
          <w:szCs w:val="24"/>
        </w:rPr>
        <w:t xml:space="preserve">rant, one of the Tennessee </w:t>
      </w:r>
      <w:r w:rsidR="00EC0CD0">
        <w:rPr>
          <w:rFonts w:cs="Times New Roman"/>
          <w:color w:val="000000" w:themeColor="text1"/>
          <w:szCs w:val="24"/>
        </w:rPr>
        <w:t>e</w:t>
      </w:r>
      <w:r w:rsidR="00734B0B" w:rsidRPr="00734B0B">
        <w:rPr>
          <w:rFonts w:cs="Times New Roman"/>
          <w:color w:val="000000" w:themeColor="text1"/>
          <w:szCs w:val="24"/>
        </w:rPr>
        <w:t xml:space="preserve">ducation </w:t>
      </w:r>
      <w:r w:rsidR="00EC0CD0">
        <w:rPr>
          <w:rFonts w:cs="Times New Roman"/>
          <w:color w:val="000000" w:themeColor="text1"/>
          <w:szCs w:val="24"/>
        </w:rPr>
        <w:t>l</w:t>
      </w:r>
      <w:r w:rsidR="00734B0B" w:rsidRPr="00734B0B">
        <w:rPr>
          <w:rFonts w:cs="Times New Roman"/>
          <w:color w:val="000000" w:themeColor="text1"/>
          <w:szCs w:val="24"/>
        </w:rPr>
        <w:t xml:space="preserve">ottery </w:t>
      </w:r>
      <w:r w:rsidR="00EC0CD0">
        <w:rPr>
          <w:rFonts w:cs="Times New Roman"/>
          <w:color w:val="000000" w:themeColor="text1"/>
          <w:szCs w:val="24"/>
        </w:rPr>
        <w:t>s</w:t>
      </w:r>
      <w:r w:rsidR="00734B0B" w:rsidRPr="00734B0B">
        <w:rPr>
          <w:rFonts w:cs="Times New Roman"/>
          <w:color w:val="000000" w:themeColor="text1"/>
          <w:szCs w:val="24"/>
        </w:rPr>
        <w:t>cholarships, helps provide funding for qualifying dual enrollment students (T</w:t>
      </w:r>
      <w:r w:rsidR="00422F95">
        <w:rPr>
          <w:rFonts w:cs="Times New Roman"/>
          <w:color w:val="000000" w:themeColor="text1"/>
          <w:szCs w:val="24"/>
        </w:rPr>
        <w:t>DOE</w:t>
      </w:r>
      <w:r w:rsidR="00734B0B" w:rsidRPr="00734B0B">
        <w:rPr>
          <w:rFonts w:cs="Times New Roman"/>
          <w:color w:val="000000" w:themeColor="text1"/>
          <w:szCs w:val="24"/>
        </w:rPr>
        <w:t>, n.d.</w:t>
      </w:r>
      <w:r w:rsidR="00F51B1A">
        <w:rPr>
          <w:rFonts w:cs="Times New Roman"/>
          <w:color w:val="000000" w:themeColor="text1"/>
          <w:szCs w:val="24"/>
        </w:rPr>
        <w:t>-</w:t>
      </w:r>
      <w:r w:rsidR="00422F95">
        <w:rPr>
          <w:rFonts w:cs="Times New Roman"/>
          <w:color w:val="000000" w:themeColor="text1"/>
          <w:szCs w:val="24"/>
        </w:rPr>
        <w:t>b</w:t>
      </w:r>
      <w:r w:rsidR="00734B0B" w:rsidRPr="00734B0B">
        <w:rPr>
          <w:rFonts w:cs="Times New Roman"/>
          <w:color w:val="000000" w:themeColor="text1"/>
          <w:szCs w:val="24"/>
        </w:rPr>
        <w:t>).</w:t>
      </w:r>
      <w:r w:rsidR="00D90B6D">
        <w:rPr>
          <w:rFonts w:cs="Times New Roman"/>
          <w:color w:val="000000" w:themeColor="text1"/>
          <w:szCs w:val="24"/>
        </w:rPr>
        <w:t xml:space="preserve"> </w:t>
      </w:r>
      <w:r w:rsidR="005F0E23">
        <w:rPr>
          <w:rFonts w:cs="Times New Roman"/>
          <w:color w:val="000000" w:themeColor="text1"/>
          <w:szCs w:val="24"/>
        </w:rPr>
        <w:t>Award</w:t>
      </w:r>
      <w:r w:rsidR="005F0E23" w:rsidRPr="005F0E23">
        <w:rPr>
          <w:rFonts w:cs="Times New Roman"/>
          <w:color w:val="000000" w:themeColor="text1"/>
          <w:szCs w:val="24"/>
        </w:rPr>
        <w:t xml:space="preserve"> amounts pay up to 10 dual enrollment courses (College for TN, 2025). Participants must maintain a minimum 2.0 GPA to </w:t>
      </w:r>
      <w:r w:rsidR="005F0E23" w:rsidRPr="005F0E23">
        <w:rPr>
          <w:rFonts w:cs="Times New Roman"/>
          <w:color w:val="000000" w:themeColor="text1"/>
          <w:szCs w:val="24"/>
        </w:rPr>
        <w:lastRenderedPageBreak/>
        <w:t>remain eligible (College for TN, 2025).</w:t>
      </w:r>
      <w:r w:rsidR="003C4A8D" w:rsidRPr="005F0E23">
        <w:rPr>
          <w:rFonts w:cs="Times New Roman"/>
          <w:color w:val="000000" w:themeColor="text1"/>
          <w:szCs w:val="24"/>
        </w:rPr>
        <w:t xml:space="preserve"> </w:t>
      </w:r>
      <w:r w:rsidR="00982E9C" w:rsidRPr="005F0E23">
        <w:rPr>
          <w:rFonts w:cs="Times New Roman"/>
          <w:color w:val="000000" w:themeColor="text1"/>
          <w:szCs w:val="24"/>
        </w:rPr>
        <w:t>Funding</w:t>
      </w:r>
      <w:r w:rsidR="00982E9C">
        <w:rPr>
          <w:rFonts w:cs="Times New Roman"/>
          <w:color w:val="000000" w:themeColor="text1"/>
          <w:szCs w:val="24"/>
        </w:rPr>
        <w:t xml:space="preserve"> models for </w:t>
      </w:r>
      <w:r w:rsidR="00F0431B">
        <w:rPr>
          <w:rFonts w:cs="Times New Roman"/>
          <w:color w:val="000000" w:themeColor="text1"/>
          <w:szCs w:val="24"/>
        </w:rPr>
        <w:t>dual enrollment vary across states and systems with benefits of breaking down financial barriers of access</w:t>
      </w:r>
      <w:r w:rsidR="004A6E3D">
        <w:rPr>
          <w:rFonts w:cs="Times New Roman"/>
          <w:color w:val="000000" w:themeColor="text1"/>
          <w:szCs w:val="24"/>
        </w:rPr>
        <w:t xml:space="preserve"> for students</w:t>
      </w:r>
      <w:r w:rsidR="00F0431B">
        <w:rPr>
          <w:rFonts w:cs="Times New Roman"/>
          <w:color w:val="000000" w:themeColor="text1"/>
          <w:szCs w:val="24"/>
        </w:rPr>
        <w:t xml:space="preserve"> (</w:t>
      </w:r>
      <w:r w:rsidR="00286BDB">
        <w:rPr>
          <w:rFonts w:cs="Times New Roman"/>
          <w:color w:val="000000" w:themeColor="text1"/>
          <w:szCs w:val="24"/>
        </w:rPr>
        <w:t>CCRC</w:t>
      </w:r>
      <w:r w:rsidR="00F0431B">
        <w:rPr>
          <w:rFonts w:cs="Times New Roman"/>
          <w:color w:val="000000" w:themeColor="text1"/>
          <w:szCs w:val="24"/>
        </w:rPr>
        <w:t>, 2024).</w:t>
      </w:r>
      <w:r w:rsidR="006362F5">
        <w:rPr>
          <w:rFonts w:cs="Times New Roman"/>
          <w:color w:val="000000" w:themeColor="text1"/>
          <w:szCs w:val="24"/>
        </w:rPr>
        <w:t xml:space="preserve"> E</w:t>
      </w:r>
      <w:r w:rsidR="00470F8E">
        <w:rPr>
          <w:rFonts w:cs="Times New Roman"/>
          <w:color w:val="000000" w:themeColor="text1"/>
          <w:szCs w:val="24"/>
        </w:rPr>
        <w:t>stablishment and expansion of community colleges throughout the United States also brought financial relief through Promise scholarships</w:t>
      </w:r>
      <w:r w:rsidR="00D1776B">
        <w:rPr>
          <w:rFonts w:cs="Times New Roman"/>
          <w:color w:val="000000" w:themeColor="text1"/>
          <w:szCs w:val="24"/>
        </w:rPr>
        <w:t>, such as the T</w:t>
      </w:r>
      <w:r w:rsidR="00233E3B">
        <w:rPr>
          <w:rFonts w:cs="Times New Roman"/>
          <w:color w:val="000000" w:themeColor="text1"/>
          <w:szCs w:val="24"/>
        </w:rPr>
        <w:t>ennessee</w:t>
      </w:r>
      <w:r w:rsidR="00D1776B">
        <w:rPr>
          <w:rFonts w:cs="Times New Roman"/>
          <w:color w:val="000000" w:themeColor="text1"/>
          <w:szCs w:val="24"/>
        </w:rPr>
        <w:t xml:space="preserve"> Promise program</w:t>
      </w:r>
      <w:r w:rsidR="006362F5">
        <w:rPr>
          <w:rFonts w:cs="Times New Roman"/>
          <w:color w:val="000000" w:themeColor="text1"/>
          <w:szCs w:val="24"/>
        </w:rPr>
        <w:t xml:space="preserve"> (TBR, n.d.-d)</w:t>
      </w:r>
      <w:r w:rsidR="00D1776B">
        <w:rPr>
          <w:rFonts w:cs="Times New Roman"/>
          <w:color w:val="000000" w:themeColor="text1"/>
          <w:szCs w:val="24"/>
        </w:rPr>
        <w:t>. T</w:t>
      </w:r>
      <w:r w:rsidR="00233E3B">
        <w:rPr>
          <w:rFonts w:cs="Times New Roman"/>
          <w:color w:val="000000" w:themeColor="text1"/>
          <w:szCs w:val="24"/>
        </w:rPr>
        <w:t>ennessee</w:t>
      </w:r>
      <w:r w:rsidR="00D1776B">
        <w:rPr>
          <w:rFonts w:cs="Times New Roman"/>
          <w:color w:val="000000" w:themeColor="text1"/>
          <w:szCs w:val="24"/>
        </w:rPr>
        <w:t xml:space="preserve"> Promise </w:t>
      </w:r>
      <w:r w:rsidR="002B26EE">
        <w:rPr>
          <w:rFonts w:cs="Times New Roman"/>
          <w:color w:val="000000" w:themeColor="text1"/>
          <w:szCs w:val="24"/>
        </w:rPr>
        <w:t xml:space="preserve">is </w:t>
      </w:r>
      <w:r w:rsidR="00D1776B">
        <w:rPr>
          <w:rFonts w:cs="Times New Roman"/>
          <w:color w:val="000000" w:themeColor="text1"/>
          <w:szCs w:val="24"/>
        </w:rPr>
        <w:t xml:space="preserve">a </w:t>
      </w:r>
      <w:r w:rsidR="00233E3B">
        <w:rPr>
          <w:rFonts w:cs="Times New Roman"/>
          <w:color w:val="000000" w:themeColor="text1"/>
          <w:szCs w:val="24"/>
        </w:rPr>
        <w:t>last-dollar scholarship</w:t>
      </w:r>
      <w:r w:rsidR="00E847EB">
        <w:rPr>
          <w:rFonts w:cs="Times New Roman"/>
          <w:color w:val="000000" w:themeColor="text1"/>
          <w:szCs w:val="24"/>
        </w:rPr>
        <w:t xml:space="preserve"> designed</w:t>
      </w:r>
      <w:r w:rsidR="00233E3B">
        <w:rPr>
          <w:rFonts w:cs="Times New Roman"/>
          <w:color w:val="000000" w:themeColor="text1"/>
          <w:szCs w:val="24"/>
        </w:rPr>
        <w:t xml:space="preserve"> to remove the financial burden of tuition and fees to attend an eligible institution after high school graduation, </w:t>
      </w:r>
      <w:r w:rsidR="00E847EB">
        <w:rPr>
          <w:rFonts w:cs="Times New Roman"/>
          <w:color w:val="000000" w:themeColor="text1"/>
          <w:szCs w:val="24"/>
        </w:rPr>
        <w:t>and</w:t>
      </w:r>
      <w:r w:rsidR="00233E3B">
        <w:rPr>
          <w:rFonts w:cs="Times New Roman"/>
          <w:color w:val="000000" w:themeColor="text1"/>
          <w:szCs w:val="24"/>
        </w:rPr>
        <w:t xml:space="preserve"> a mentor program to assist</w:t>
      </w:r>
      <w:r>
        <w:rPr>
          <w:rFonts w:cs="Times New Roman"/>
          <w:color w:val="000000" w:themeColor="text1"/>
          <w:szCs w:val="24"/>
        </w:rPr>
        <w:t xml:space="preserve"> in </w:t>
      </w:r>
      <w:r w:rsidR="00233E3B">
        <w:rPr>
          <w:rFonts w:cs="Times New Roman"/>
          <w:color w:val="000000" w:themeColor="text1"/>
          <w:szCs w:val="24"/>
        </w:rPr>
        <w:t>the college admissions process (TBR, n.</w:t>
      </w:r>
      <w:r w:rsidR="00485B0A">
        <w:rPr>
          <w:rFonts w:cs="Times New Roman"/>
          <w:color w:val="000000" w:themeColor="text1"/>
          <w:szCs w:val="24"/>
        </w:rPr>
        <w:t>d</w:t>
      </w:r>
      <w:r w:rsidR="00233E3B">
        <w:rPr>
          <w:rFonts w:cs="Times New Roman"/>
          <w:color w:val="000000" w:themeColor="text1"/>
          <w:szCs w:val="24"/>
        </w:rPr>
        <w:t>.</w:t>
      </w:r>
      <w:r w:rsidR="00DF57AB">
        <w:rPr>
          <w:rFonts w:cs="Times New Roman"/>
          <w:color w:val="000000" w:themeColor="text1"/>
          <w:szCs w:val="24"/>
        </w:rPr>
        <w:t>-</w:t>
      </w:r>
      <w:r w:rsidR="00E25D5B">
        <w:rPr>
          <w:rFonts w:cs="Times New Roman"/>
          <w:color w:val="000000" w:themeColor="text1"/>
          <w:szCs w:val="24"/>
        </w:rPr>
        <w:t>d</w:t>
      </w:r>
      <w:r w:rsidR="00233E3B">
        <w:rPr>
          <w:rFonts w:cs="Times New Roman"/>
          <w:color w:val="000000" w:themeColor="text1"/>
          <w:szCs w:val="24"/>
        </w:rPr>
        <w:t>).</w:t>
      </w:r>
    </w:p>
    <w:p w14:paraId="6382341E" w14:textId="77777777" w:rsidR="00E3743C" w:rsidRPr="00E3743C" w:rsidRDefault="00E3743C" w:rsidP="00E3743C">
      <w:pPr>
        <w:pStyle w:val="Heading3"/>
      </w:pPr>
      <w:bookmarkStart w:id="35" w:name="_Toc224458892"/>
      <w:r>
        <w:t>The Completion Agenda</w:t>
      </w:r>
      <w:bookmarkEnd w:id="35"/>
    </w:p>
    <w:p w14:paraId="29567C65" w14:textId="524D597D" w:rsidR="00D97962" w:rsidRPr="00D97962" w:rsidRDefault="00D97962" w:rsidP="00D97962">
      <w:pPr>
        <w:ind w:firstLine="720"/>
        <w:rPr>
          <w:rFonts w:cs="Times New Roman"/>
          <w:color w:val="000000" w:themeColor="text1"/>
          <w:szCs w:val="24"/>
        </w:rPr>
      </w:pPr>
      <w:r w:rsidRPr="00D97962">
        <w:rPr>
          <w:rFonts w:cs="Times New Roman"/>
          <w:color w:val="000000" w:themeColor="text1"/>
          <w:szCs w:val="24"/>
        </w:rPr>
        <w:t>Higher Education in Tennessee has seen significant reform over the past decade with the passage of the Complete College Tennessee Act (CCTA) in January of 2010 and Drive to 55 in 2014 (</w:t>
      </w:r>
      <w:bookmarkStart w:id="36" w:name="_Hlk127704138"/>
      <w:r w:rsidRPr="00D97962">
        <w:rPr>
          <w:rFonts w:cs="Times New Roman"/>
          <w:color w:val="000000" w:themeColor="text1"/>
          <w:szCs w:val="24"/>
        </w:rPr>
        <w:t>Meehan &amp; Kent, 2020</w:t>
      </w:r>
      <w:bookmarkEnd w:id="36"/>
      <w:r w:rsidRPr="00D97962">
        <w:rPr>
          <w:rFonts w:cs="Times New Roman"/>
          <w:color w:val="000000" w:themeColor="text1"/>
          <w:szCs w:val="24"/>
        </w:rPr>
        <w:t xml:space="preserve">). Postsecondary completion has been a significant focus </w:t>
      </w:r>
      <w:r w:rsidR="0012256D">
        <w:rPr>
          <w:rFonts w:cs="Times New Roman"/>
          <w:color w:val="000000" w:themeColor="text1"/>
          <w:szCs w:val="24"/>
        </w:rPr>
        <w:t xml:space="preserve">for institutions of higher education </w:t>
      </w:r>
      <w:r w:rsidRPr="00D97962">
        <w:rPr>
          <w:rFonts w:cs="Times New Roman"/>
          <w:color w:val="000000" w:themeColor="text1"/>
          <w:szCs w:val="24"/>
        </w:rPr>
        <w:t xml:space="preserve">in the United States over the past decade. Goals for increasing college completion have led to a range of policies and reforms across the </w:t>
      </w:r>
      <w:r w:rsidR="003D76D6">
        <w:rPr>
          <w:rFonts w:cs="Times New Roman"/>
          <w:color w:val="000000" w:themeColor="text1"/>
          <w:szCs w:val="24"/>
        </w:rPr>
        <w:t>country</w:t>
      </w:r>
      <w:r w:rsidRPr="00D97962">
        <w:rPr>
          <w:rFonts w:cs="Times New Roman"/>
          <w:color w:val="000000" w:themeColor="text1"/>
          <w:szCs w:val="24"/>
        </w:rPr>
        <w:t>. “The completion agenda is not merely about increasing numbers of college degrees</w:t>
      </w:r>
      <w:r w:rsidR="003D76D6">
        <w:rPr>
          <w:rFonts w:cs="Times New Roman"/>
          <w:color w:val="000000" w:themeColor="text1"/>
          <w:szCs w:val="24"/>
        </w:rPr>
        <w:t>;</w:t>
      </w:r>
      <w:r w:rsidRPr="00D97962">
        <w:rPr>
          <w:rFonts w:cs="Times New Roman"/>
          <w:color w:val="000000" w:themeColor="text1"/>
          <w:szCs w:val="24"/>
        </w:rPr>
        <w:t xml:space="preserve"> it is also about ensuring that the historical inequalities in college completion among demographic and economic groups are mitigated” (Karp, 2015, p.</w:t>
      </w:r>
      <w:r w:rsidR="0055663F">
        <w:rPr>
          <w:rFonts w:cs="Times New Roman"/>
          <w:color w:val="000000" w:themeColor="text1"/>
          <w:szCs w:val="24"/>
        </w:rPr>
        <w:t xml:space="preserve"> </w:t>
      </w:r>
      <w:r w:rsidRPr="00D97962">
        <w:rPr>
          <w:rFonts w:cs="Times New Roman"/>
          <w:color w:val="000000" w:themeColor="text1"/>
          <w:szCs w:val="24"/>
        </w:rPr>
        <w:t>108). The completion agenda gained momentum through multiple initiatives</w:t>
      </w:r>
      <w:r w:rsidR="00696554">
        <w:rPr>
          <w:rFonts w:cs="Times New Roman"/>
          <w:color w:val="000000" w:themeColor="text1"/>
          <w:szCs w:val="24"/>
        </w:rPr>
        <w:t xml:space="preserve"> and</w:t>
      </w:r>
      <w:r w:rsidRPr="00D97962">
        <w:rPr>
          <w:rFonts w:cs="Times New Roman"/>
          <w:color w:val="000000" w:themeColor="text1"/>
          <w:szCs w:val="24"/>
        </w:rPr>
        <w:t xml:space="preserve"> funding from organizations </w:t>
      </w:r>
      <w:r w:rsidR="00696554">
        <w:rPr>
          <w:rFonts w:cs="Times New Roman"/>
          <w:color w:val="000000" w:themeColor="text1"/>
          <w:szCs w:val="24"/>
        </w:rPr>
        <w:t>such as</w:t>
      </w:r>
      <w:r w:rsidRPr="00D97962">
        <w:rPr>
          <w:rFonts w:cs="Times New Roman"/>
          <w:color w:val="000000" w:themeColor="text1"/>
          <w:szCs w:val="24"/>
        </w:rPr>
        <w:t xml:space="preserve"> the Lumina Foundation and the Bill and Melinda Gates Foundation (Cohen et al., 2014</w:t>
      </w:r>
      <w:r w:rsidR="00696554">
        <w:rPr>
          <w:rFonts w:cs="Times New Roman"/>
          <w:color w:val="000000" w:themeColor="text1"/>
          <w:szCs w:val="24"/>
        </w:rPr>
        <w:t>; White, 2022</w:t>
      </w:r>
      <w:r w:rsidRPr="00D97962">
        <w:rPr>
          <w:rFonts w:cs="Times New Roman"/>
          <w:color w:val="000000" w:themeColor="text1"/>
          <w:szCs w:val="24"/>
        </w:rPr>
        <w:t>).</w:t>
      </w:r>
    </w:p>
    <w:p w14:paraId="75EEF26C" w14:textId="1E7A3602" w:rsidR="00D97962" w:rsidRPr="005D1A78" w:rsidRDefault="00D97962" w:rsidP="005D1A78">
      <w:pPr>
        <w:spacing w:before="120"/>
        <w:ind w:firstLine="720"/>
        <w:rPr>
          <w:rFonts w:eastAsia="Times New Roman" w:cs="Times New Roman"/>
          <w:color w:val="000000" w:themeColor="text1"/>
          <w:szCs w:val="24"/>
          <w:highlight w:val="yellow"/>
        </w:rPr>
      </w:pPr>
      <w:r w:rsidRPr="00D97962">
        <w:rPr>
          <w:rFonts w:cs="Times New Roman"/>
          <w:color w:val="000000" w:themeColor="text1"/>
          <w:szCs w:val="24"/>
        </w:rPr>
        <w:t>Governor Phil Bredesen signed into law the Complete College Tennessee Act (CCTA) of 2010 (</w:t>
      </w:r>
      <w:bookmarkStart w:id="37" w:name="_Hlk127704959"/>
      <w:r w:rsidRPr="00D97962">
        <w:rPr>
          <w:rFonts w:cs="Times New Roman"/>
          <w:color w:val="000000" w:themeColor="text1"/>
          <w:szCs w:val="24"/>
        </w:rPr>
        <w:t>Meehan &amp; Kent, 2020</w:t>
      </w:r>
      <w:bookmarkEnd w:id="37"/>
      <w:r w:rsidRPr="00D97962">
        <w:rPr>
          <w:rFonts w:cs="Times New Roman"/>
          <w:color w:val="000000" w:themeColor="text1"/>
          <w:szCs w:val="24"/>
        </w:rPr>
        <w:t>). The College Completion Act of 2010 is a comprehensive reform agenda for Tennessee Higher Education that links the state’s higher education to its economic development (T</w:t>
      </w:r>
      <w:r w:rsidR="00C61A65">
        <w:rPr>
          <w:rFonts w:cs="Times New Roman"/>
          <w:color w:val="000000" w:themeColor="text1"/>
          <w:szCs w:val="24"/>
        </w:rPr>
        <w:t>HEC</w:t>
      </w:r>
      <w:r w:rsidRPr="00D97962">
        <w:rPr>
          <w:rFonts w:cs="Times New Roman"/>
          <w:color w:val="000000" w:themeColor="text1"/>
          <w:szCs w:val="24"/>
        </w:rPr>
        <w:t xml:space="preserve">, 2020). </w:t>
      </w:r>
      <w:r w:rsidR="005D1A78" w:rsidRPr="00C93DDB">
        <w:rPr>
          <w:rFonts w:eastAsia="Times New Roman" w:cs="Times New Roman"/>
          <w:color w:val="000000" w:themeColor="text1"/>
          <w:szCs w:val="24"/>
        </w:rPr>
        <w:t xml:space="preserve">Tennessee’s efforts to increase college completion rates through funding models, academic scheduling, and financial aid are shown through the Complete College </w:t>
      </w:r>
      <w:r w:rsidR="005D1A78" w:rsidRPr="00C93DDB">
        <w:rPr>
          <w:rFonts w:eastAsia="Times New Roman" w:cs="Times New Roman"/>
          <w:color w:val="000000" w:themeColor="text1"/>
          <w:szCs w:val="24"/>
        </w:rPr>
        <w:lastRenderedPageBreak/>
        <w:t>Act and the Complete to Compete initiatives (</w:t>
      </w:r>
      <w:r w:rsidR="00262C9F">
        <w:rPr>
          <w:rFonts w:eastAsia="Times New Roman" w:cs="Times New Roman"/>
          <w:color w:val="000000" w:themeColor="text1"/>
          <w:szCs w:val="24"/>
        </w:rPr>
        <w:t>Tennessee Office of the Governor, 2018a</w:t>
      </w:r>
      <w:r w:rsidR="00E7541D">
        <w:rPr>
          <w:rFonts w:eastAsia="Times New Roman" w:cs="Times New Roman"/>
          <w:color w:val="000000" w:themeColor="text1"/>
          <w:szCs w:val="24"/>
        </w:rPr>
        <w:t>; Tennessee Office of the Governor, 2018b</w:t>
      </w:r>
      <w:r w:rsidR="00E7541D" w:rsidRPr="002A36AE">
        <w:rPr>
          <w:rFonts w:eastAsia="Times New Roman" w:cs="Times New Roman"/>
          <w:color w:val="000000" w:themeColor="text1"/>
          <w:szCs w:val="24"/>
        </w:rPr>
        <w:t>).</w:t>
      </w:r>
      <w:r w:rsidR="005D1A78" w:rsidRPr="00C93DDB">
        <w:rPr>
          <w:rFonts w:eastAsia="Times New Roman" w:cs="Times New Roman"/>
          <w:color w:val="000000" w:themeColor="text1"/>
          <w:szCs w:val="24"/>
        </w:rPr>
        <w:t xml:space="preserve"> A performance-based funding model for public institutions was established by the Complete College Act of 2010 and is based on student outcomes like retention and degrees attained </w:t>
      </w:r>
      <w:r w:rsidR="00E7541D" w:rsidRPr="00C93DDB">
        <w:rPr>
          <w:rFonts w:eastAsia="Times New Roman" w:cs="Times New Roman"/>
          <w:color w:val="000000" w:themeColor="text1"/>
          <w:szCs w:val="24"/>
        </w:rPr>
        <w:t>(</w:t>
      </w:r>
      <w:r w:rsidR="00E7541D" w:rsidRPr="002A36AE">
        <w:rPr>
          <w:rFonts w:eastAsia="Times New Roman" w:cs="Times New Roman"/>
          <w:color w:val="000000" w:themeColor="text1"/>
          <w:szCs w:val="24"/>
        </w:rPr>
        <w:t>Tennessee Office of the Governor, 2018a; Tennessee Office of the Governor, 2018b).</w:t>
      </w:r>
      <w:r w:rsidR="00E7541D" w:rsidRPr="00C93DDB">
        <w:rPr>
          <w:rFonts w:eastAsia="Times New Roman" w:cs="Times New Roman"/>
          <w:color w:val="000000" w:themeColor="text1"/>
          <w:szCs w:val="24"/>
        </w:rPr>
        <w:t xml:space="preserve"> </w:t>
      </w:r>
      <w:r w:rsidR="005D1A78" w:rsidRPr="00C93DDB">
        <w:rPr>
          <w:rFonts w:eastAsia="Times New Roman" w:cs="Times New Roman"/>
          <w:color w:val="000000" w:themeColor="text1"/>
          <w:szCs w:val="24"/>
        </w:rPr>
        <w:t xml:space="preserve">In order to help </w:t>
      </w:r>
      <w:proofErr w:type="gramStart"/>
      <w:r w:rsidR="005D1A78" w:rsidRPr="00C93DDB">
        <w:rPr>
          <w:rFonts w:eastAsia="Times New Roman" w:cs="Times New Roman"/>
          <w:color w:val="000000" w:themeColor="text1"/>
          <w:szCs w:val="24"/>
        </w:rPr>
        <w:t>students</w:t>
      </w:r>
      <w:proofErr w:type="gramEnd"/>
      <w:r w:rsidR="005D1A78" w:rsidRPr="00C93DDB">
        <w:rPr>
          <w:rFonts w:eastAsia="Times New Roman" w:cs="Times New Roman"/>
          <w:color w:val="000000" w:themeColor="text1"/>
          <w:szCs w:val="24"/>
        </w:rPr>
        <w:t xml:space="preserve"> graduate on time, the 2018 Complete College Tennessee Act codified the Complete to Compete initiative, which built on this through reorganized financial aid and required structured, program-based schedules </w:t>
      </w:r>
      <w:r w:rsidR="00E7541D" w:rsidRPr="00C93DDB">
        <w:rPr>
          <w:rFonts w:eastAsia="Times New Roman" w:cs="Times New Roman"/>
          <w:color w:val="000000" w:themeColor="text1"/>
          <w:szCs w:val="24"/>
        </w:rPr>
        <w:t>(</w:t>
      </w:r>
      <w:r w:rsidR="00E7541D">
        <w:rPr>
          <w:rFonts w:eastAsia="Times New Roman" w:cs="Times New Roman"/>
          <w:color w:val="000000" w:themeColor="text1"/>
          <w:szCs w:val="24"/>
        </w:rPr>
        <w:t>Tennessee Office of the Governor, 2018a; Tennessee Office of the Governor, 2018b).</w:t>
      </w:r>
      <w:r w:rsidR="00E7541D" w:rsidRPr="00C93DDB">
        <w:rPr>
          <w:rFonts w:eastAsia="Times New Roman" w:cs="Times New Roman"/>
          <w:color w:val="000000" w:themeColor="text1"/>
          <w:szCs w:val="24"/>
          <w:highlight w:val="yellow"/>
        </w:rPr>
        <w:t xml:space="preserve"> </w:t>
      </w:r>
      <w:r w:rsidR="00EC0CD0">
        <w:rPr>
          <w:rFonts w:cs="Times New Roman"/>
          <w:color w:val="000000" w:themeColor="text1"/>
          <w:szCs w:val="24"/>
        </w:rPr>
        <w:t>Tennessee</w:t>
      </w:r>
      <w:r w:rsidRPr="00D97962">
        <w:rPr>
          <w:rFonts w:cs="Times New Roman"/>
          <w:color w:val="000000" w:themeColor="text1"/>
          <w:szCs w:val="24"/>
        </w:rPr>
        <w:t xml:space="preserve"> developed a new master plan through this legislation to implement the outcomes-based funding model, as well as to hold higher education institutions accountable for increased attainment, retention, and completion rates</w:t>
      </w:r>
      <w:r w:rsidR="00CD13B4">
        <w:rPr>
          <w:rFonts w:cs="Times New Roman"/>
          <w:color w:val="000000" w:themeColor="text1"/>
          <w:szCs w:val="24"/>
        </w:rPr>
        <w:t xml:space="preserve"> (THEC, n.d.-a)</w:t>
      </w:r>
      <w:r w:rsidRPr="00D97962">
        <w:rPr>
          <w:rFonts w:cs="Times New Roman"/>
          <w:color w:val="000000" w:themeColor="text1"/>
          <w:szCs w:val="24"/>
        </w:rPr>
        <w:t>.</w:t>
      </w:r>
    </w:p>
    <w:p w14:paraId="6AD7213A" w14:textId="3C862C80" w:rsidR="00D97962" w:rsidRPr="00D97962" w:rsidRDefault="00D97962" w:rsidP="00D97962">
      <w:pPr>
        <w:ind w:firstLine="720"/>
        <w:rPr>
          <w:rFonts w:cs="Times New Roman"/>
          <w:color w:val="000000" w:themeColor="text1"/>
          <w:szCs w:val="24"/>
        </w:rPr>
      </w:pPr>
      <w:r w:rsidRPr="00D97962">
        <w:rPr>
          <w:rFonts w:cs="Times New Roman"/>
          <w:color w:val="000000" w:themeColor="text1"/>
          <w:szCs w:val="24"/>
        </w:rPr>
        <w:t xml:space="preserve">Over the past decade, the Tennessee Higher Education Commission has constructed a master plan that focuses on the CCTA and college completion </w:t>
      </w:r>
      <w:r w:rsidR="00EC0CD0">
        <w:rPr>
          <w:rFonts w:cs="Times New Roman"/>
          <w:color w:val="000000" w:themeColor="text1"/>
          <w:szCs w:val="24"/>
        </w:rPr>
        <w:t>and</w:t>
      </w:r>
      <w:r w:rsidRPr="00D97962">
        <w:rPr>
          <w:rFonts w:cs="Times New Roman"/>
          <w:color w:val="000000" w:themeColor="text1"/>
          <w:szCs w:val="24"/>
        </w:rPr>
        <w:t xml:space="preserve"> builds on that foundation with the Drive to 55 </w:t>
      </w:r>
      <w:r w:rsidR="0098570F" w:rsidRPr="00D97962">
        <w:rPr>
          <w:rFonts w:cs="Times New Roman"/>
          <w:color w:val="000000" w:themeColor="text1"/>
          <w:szCs w:val="24"/>
        </w:rPr>
        <w:t>initiatives</w:t>
      </w:r>
      <w:r w:rsidRPr="00D97962">
        <w:rPr>
          <w:rFonts w:cs="Times New Roman"/>
          <w:color w:val="000000" w:themeColor="text1"/>
          <w:szCs w:val="24"/>
        </w:rPr>
        <w:t>, aligning with Tennessee's goal to achieve 55</w:t>
      </w:r>
      <w:r w:rsidR="00EC0CD0">
        <w:rPr>
          <w:rFonts w:cs="Times New Roman"/>
          <w:color w:val="000000" w:themeColor="text1"/>
          <w:szCs w:val="24"/>
        </w:rPr>
        <w:t>%</w:t>
      </w:r>
      <w:r w:rsidRPr="00D97962">
        <w:rPr>
          <w:rFonts w:cs="Times New Roman"/>
          <w:color w:val="000000" w:themeColor="text1"/>
          <w:szCs w:val="24"/>
        </w:rPr>
        <w:t xml:space="preserve"> </w:t>
      </w:r>
      <w:r w:rsidR="0055663F">
        <w:rPr>
          <w:rFonts w:cs="Times New Roman"/>
          <w:color w:val="000000" w:themeColor="text1"/>
          <w:szCs w:val="24"/>
        </w:rPr>
        <w:t xml:space="preserve">post-secondary </w:t>
      </w:r>
      <w:r w:rsidRPr="00D97962">
        <w:rPr>
          <w:rFonts w:cs="Times New Roman"/>
          <w:color w:val="000000" w:themeColor="text1"/>
          <w:szCs w:val="24"/>
        </w:rPr>
        <w:t>educational attainment by 2025 (T</w:t>
      </w:r>
      <w:r w:rsidR="00C61A65">
        <w:rPr>
          <w:rFonts w:cs="Times New Roman"/>
          <w:color w:val="000000" w:themeColor="text1"/>
          <w:szCs w:val="24"/>
        </w:rPr>
        <w:t>BR</w:t>
      </w:r>
      <w:r w:rsidRPr="00D97962">
        <w:rPr>
          <w:rFonts w:cs="Times New Roman"/>
          <w:color w:val="000000" w:themeColor="text1"/>
          <w:szCs w:val="24"/>
        </w:rPr>
        <w:t>, n.d.</w:t>
      </w:r>
      <w:r w:rsidR="00C61A65">
        <w:rPr>
          <w:rFonts w:cs="Times New Roman"/>
          <w:color w:val="000000" w:themeColor="text1"/>
          <w:szCs w:val="24"/>
        </w:rPr>
        <w:t>-b</w:t>
      </w:r>
      <w:r w:rsidRPr="00D97962">
        <w:rPr>
          <w:rFonts w:cs="Times New Roman"/>
          <w:color w:val="000000" w:themeColor="text1"/>
          <w:szCs w:val="24"/>
        </w:rPr>
        <w:t>). Governor Bill Haslam’s Drive to 55 college completion agenda is not only a mission for higher education but also a mission for the future workforce and economic development. (T</w:t>
      </w:r>
      <w:r w:rsidR="00C61A65">
        <w:rPr>
          <w:rFonts w:cs="Times New Roman"/>
          <w:color w:val="000000" w:themeColor="text1"/>
          <w:szCs w:val="24"/>
        </w:rPr>
        <w:t>HEC</w:t>
      </w:r>
      <w:r w:rsidRPr="00D97962">
        <w:rPr>
          <w:rFonts w:cs="Times New Roman"/>
          <w:color w:val="000000" w:themeColor="text1"/>
          <w:szCs w:val="24"/>
        </w:rPr>
        <w:t xml:space="preserve">, 2020). The Drive to 55 core components </w:t>
      </w:r>
      <w:r w:rsidR="00166452" w:rsidRPr="00D97962">
        <w:rPr>
          <w:rFonts w:cs="Times New Roman"/>
          <w:color w:val="000000" w:themeColor="text1"/>
          <w:szCs w:val="24"/>
        </w:rPr>
        <w:t>includes</w:t>
      </w:r>
      <w:r w:rsidRPr="00D97962">
        <w:rPr>
          <w:rFonts w:cs="Times New Roman"/>
          <w:color w:val="000000" w:themeColor="text1"/>
          <w:szCs w:val="24"/>
        </w:rPr>
        <w:t xml:space="preserve"> Tennessee Promise, Tennessee Reconnect, and </w:t>
      </w:r>
      <w:r w:rsidR="00EC0CD0">
        <w:rPr>
          <w:rFonts w:cs="Times New Roman"/>
          <w:color w:val="000000" w:themeColor="text1"/>
          <w:szCs w:val="24"/>
        </w:rPr>
        <w:t xml:space="preserve">the </w:t>
      </w:r>
      <w:r w:rsidRPr="00D97962">
        <w:rPr>
          <w:rFonts w:cs="Times New Roman"/>
          <w:color w:val="000000" w:themeColor="text1"/>
          <w:szCs w:val="24"/>
        </w:rPr>
        <w:t>Labor Education Alignment Program (LAEP) (T</w:t>
      </w:r>
      <w:r w:rsidR="00C61A65">
        <w:rPr>
          <w:rFonts w:cs="Times New Roman"/>
          <w:color w:val="000000" w:themeColor="text1"/>
          <w:szCs w:val="24"/>
        </w:rPr>
        <w:t>HEC</w:t>
      </w:r>
      <w:r w:rsidRPr="00D97962">
        <w:rPr>
          <w:rFonts w:cs="Times New Roman"/>
          <w:color w:val="000000" w:themeColor="text1"/>
          <w:szCs w:val="24"/>
        </w:rPr>
        <w:t>, 2020).</w:t>
      </w:r>
      <w:bookmarkStart w:id="38" w:name="_Hlk207982948"/>
      <w:r w:rsidRPr="00D97962">
        <w:rPr>
          <w:rFonts w:cs="Times New Roman"/>
          <w:color w:val="000000" w:themeColor="text1"/>
          <w:szCs w:val="24"/>
        </w:rPr>
        <w:t xml:space="preserve"> </w:t>
      </w:r>
      <w:bookmarkEnd w:id="38"/>
    </w:p>
    <w:p w14:paraId="2A5B691A" w14:textId="1D8EBB7B" w:rsidR="00F02752" w:rsidRDefault="00D97962" w:rsidP="004029B3">
      <w:pPr>
        <w:ind w:firstLine="720"/>
        <w:rPr>
          <w:rFonts w:cs="Times New Roman"/>
          <w:color w:val="000000" w:themeColor="text1"/>
          <w:szCs w:val="24"/>
        </w:rPr>
      </w:pPr>
      <w:r w:rsidRPr="00D97962">
        <w:rPr>
          <w:rFonts w:cs="Times New Roman"/>
          <w:color w:val="000000" w:themeColor="text1"/>
          <w:szCs w:val="24"/>
        </w:rPr>
        <w:t>The Tennessee Board of Regents (TBR)</w:t>
      </w:r>
      <w:r w:rsidR="001C46C2">
        <w:rPr>
          <w:rFonts w:cs="Times New Roman"/>
          <w:color w:val="000000" w:themeColor="text1"/>
          <w:szCs w:val="24"/>
        </w:rPr>
        <w:t>,</w:t>
      </w:r>
      <w:r w:rsidRPr="00D97962">
        <w:rPr>
          <w:rFonts w:cs="Times New Roman"/>
          <w:color w:val="000000" w:themeColor="text1"/>
          <w:szCs w:val="24"/>
        </w:rPr>
        <w:t xml:space="preserve"> the governing body for the College System of Tennessee</w:t>
      </w:r>
      <w:r w:rsidR="001C46C2">
        <w:rPr>
          <w:rFonts w:cs="Times New Roman"/>
          <w:color w:val="000000" w:themeColor="text1"/>
          <w:szCs w:val="24"/>
        </w:rPr>
        <w:t>,</w:t>
      </w:r>
      <w:r w:rsidRPr="00D97962">
        <w:rPr>
          <w:rFonts w:cs="Times New Roman"/>
          <w:color w:val="000000" w:themeColor="text1"/>
          <w:szCs w:val="24"/>
        </w:rPr>
        <w:t xml:space="preserve"> is composed of 24 Colleges of Applied Technology (TCATs), 13 community colleges, and the online TN eCampus (TBR.edu, n.d.</w:t>
      </w:r>
      <w:r w:rsidR="00C61A65">
        <w:rPr>
          <w:rFonts w:cs="Times New Roman"/>
          <w:color w:val="000000" w:themeColor="text1"/>
          <w:szCs w:val="24"/>
        </w:rPr>
        <w:t>-c</w:t>
      </w:r>
      <w:r w:rsidRPr="00D97962">
        <w:rPr>
          <w:rFonts w:cs="Times New Roman"/>
          <w:color w:val="000000" w:themeColor="text1"/>
          <w:szCs w:val="24"/>
        </w:rPr>
        <w:t>). Data from the Tennessee 2020 master plan update indicate</w:t>
      </w:r>
      <w:r w:rsidR="00264F58">
        <w:rPr>
          <w:rFonts w:cs="Times New Roman"/>
          <w:color w:val="000000" w:themeColor="text1"/>
          <w:szCs w:val="24"/>
        </w:rPr>
        <w:t>d</w:t>
      </w:r>
      <w:r w:rsidRPr="00D97962">
        <w:rPr>
          <w:rFonts w:cs="Times New Roman"/>
          <w:color w:val="000000" w:themeColor="text1"/>
          <w:szCs w:val="24"/>
        </w:rPr>
        <w:t xml:space="preserve"> that community college student enrollment accounts for the largest share of </w:t>
      </w:r>
      <w:r w:rsidRPr="00D97962">
        <w:rPr>
          <w:rFonts w:cs="Times New Roman"/>
          <w:color w:val="000000" w:themeColor="text1"/>
          <w:szCs w:val="24"/>
        </w:rPr>
        <w:lastRenderedPageBreak/>
        <w:t>students enrolled in public higher education in Tennessee, at 36</w:t>
      </w:r>
      <w:r w:rsidR="00EC0CD0">
        <w:rPr>
          <w:rFonts w:cs="Times New Roman"/>
          <w:color w:val="000000" w:themeColor="text1"/>
          <w:szCs w:val="24"/>
        </w:rPr>
        <w:t>%</w:t>
      </w:r>
      <w:r w:rsidRPr="00D97962">
        <w:rPr>
          <w:rFonts w:cs="Times New Roman"/>
          <w:color w:val="000000" w:themeColor="text1"/>
          <w:szCs w:val="24"/>
        </w:rPr>
        <w:t xml:space="preserve"> (T</w:t>
      </w:r>
      <w:r w:rsidR="00DA696F">
        <w:rPr>
          <w:rFonts w:cs="Times New Roman"/>
          <w:color w:val="000000" w:themeColor="text1"/>
          <w:szCs w:val="24"/>
        </w:rPr>
        <w:t>HEC</w:t>
      </w:r>
      <w:r w:rsidRPr="00D97962">
        <w:rPr>
          <w:rFonts w:cs="Times New Roman"/>
          <w:color w:val="000000" w:themeColor="text1"/>
          <w:szCs w:val="24"/>
        </w:rPr>
        <w:t xml:space="preserve">, 2020). Enrollment across the state at community colleges can be attributed to the state's focus on community colleges at the center of the completion agenda, with initiatives such as the </w:t>
      </w:r>
      <w:r w:rsidRPr="005D1A78">
        <w:rPr>
          <w:rFonts w:cs="Times New Roman"/>
          <w:color w:val="000000" w:themeColor="text1"/>
          <w:szCs w:val="24"/>
        </w:rPr>
        <w:t>Tennessee Promise, Tennessee Reconnect, and the FOCUS Act of 2016 (Meehan &amp; Kent, 2020).</w:t>
      </w:r>
      <w:r w:rsidRPr="00D97962">
        <w:rPr>
          <w:rFonts w:cs="Times New Roman"/>
          <w:color w:val="000000" w:themeColor="text1"/>
          <w:szCs w:val="24"/>
        </w:rPr>
        <w:t xml:space="preserve"> </w:t>
      </w:r>
    </w:p>
    <w:p w14:paraId="4C7A42A2" w14:textId="1D236E29" w:rsidR="005D1A78" w:rsidRPr="005D1A78" w:rsidRDefault="00D97962" w:rsidP="00F02752">
      <w:pPr>
        <w:ind w:firstLine="720"/>
        <w:rPr>
          <w:rFonts w:cs="Times New Roman"/>
          <w:color w:val="000000" w:themeColor="text1"/>
          <w:szCs w:val="24"/>
        </w:rPr>
      </w:pPr>
      <w:r w:rsidRPr="00FD3D57">
        <w:rPr>
          <w:rFonts w:cs="Times New Roman"/>
          <w:color w:val="000000" w:themeColor="text1"/>
          <w:szCs w:val="24"/>
        </w:rPr>
        <w:t>Community college student enrollment can also be contributed to the rising number of high school students seeking dual enrollment opportunities that puts them on the fast track to college degree completion</w:t>
      </w:r>
      <w:r w:rsidR="00FD3D57" w:rsidRPr="00FD3D57">
        <w:rPr>
          <w:rFonts w:cs="Times New Roman"/>
          <w:color w:val="000000" w:themeColor="text1"/>
          <w:szCs w:val="24"/>
        </w:rPr>
        <w:t xml:space="preserve"> (American Association of Community Colleges [AACC], 2019; Dannenberg &amp; Hyslop, 2019; Knox, 2022).</w:t>
      </w:r>
      <w:r w:rsidR="005D1A78">
        <w:rPr>
          <w:rFonts w:cs="Times New Roman"/>
          <w:color w:val="000000" w:themeColor="text1"/>
          <w:szCs w:val="24"/>
        </w:rPr>
        <w:t xml:space="preserve"> </w:t>
      </w:r>
      <w:r w:rsidR="005D1A78" w:rsidRPr="005D1A78">
        <w:rPr>
          <w:rFonts w:cs="Times New Roman"/>
          <w:color w:val="000000" w:themeColor="text1"/>
          <w:szCs w:val="24"/>
        </w:rPr>
        <w:t xml:space="preserve">Tennessee officials heralded a commitment on higher education with two comprehensive projects aimed directly at raining the educational attainment of Tennesseans (Meehan &amp; Kent, 2020). Tennessee’s postsecondary institutions and state- and system-level organizations </w:t>
      </w:r>
      <w:r w:rsidR="00264F58">
        <w:rPr>
          <w:rFonts w:cs="Times New Roman"/>
          <w:color w:val="000000" w:themeColor="text1"/>
          <w:szCs w:val="24"/>
        </w:rPr>
        <w:t>instituted</w:t>
      </w:r>
      <w:r w:rsidR="005D1A78" w:rsidRPr="005D1A78">
        <w:rPr>
          <w:rFonts w:cs="Times New Roman"/>
          <w:color w:val="000000" w:themeColor="text1"/>
          <w:szCs w:val="24"/>
        </w:rPr>
        <w:t xml:space="preserve"> policies and initiatives to promote completion and created a thorough plan to achieve the state’s attainment target (Meehan &amp; Kent, 2020).</w:t>
      </w:r>
    </w:p>
    <w:p w14:paraId="30247001" w14:textId="77777777" w:rsidR="00291504" w:rsidRPr="00E3743C" w:rsidRDefault="00E3743C" w:rsidP="00E3743C">
      <w:pPr>
        <w:pStyle w:val="Heading3"/>
      </w:pPr>
      <w:bookmarkStart w:id="39" w:name="_Toc224458893"/>
      <w:r>
        <w:t>Outcomes-Based Funding Formula</w:t>
      </w:r>
      <w:bookmarkEnd w:id="39"/>
    </w:p>
    <w:p w14:paraId="2F71549F" w14:textId="58F019B2" w:rsidR="00D97962" w:rsidRPr="00D97962" w:rsidRDefault="00D97962" w:rsidP="00D97962">
      <w:pPr>
        <w:ind w:firstLine="720"/>
        <w:rPr>
          <w:rFonts w:cs="Times New Roman"/>
          <w:color w:val="000000" w:themeColor="text1"/>
          <w:szCs w:val="24"/>
        </w:rPr>
      </w:pPr>
      <w:r w:rsidRPr="00D97962">
        <w:rPr>
          <w:rFonts w:cs="Times New Roman"/>
          <w:color w:val="000000" w:themeColor="text1"/>
          <w:szCs w:val="24"/>
        </w:rPr>
        <w:t xml:space="preserve">The Outcomes-Based Funding (OBF) is </w:t>
      </w:r>
      <w:r w:rsidR="00EC0CD0">
        <w:rPr>
          <w:rFonts w:cs="Times New Roman"/>
          <w:color w:val="000000" w:themeColor="text1"/>
          <w:szCs w:val="24"/>
        </w:rPr>
        <w:t>a</w:t>
      </w:r>
      <w:r w:rsidRPr="00D97962">
        <w:rPr>
          <w:rFonts w:cs="Times New Roman"/>
          <w:color w:val="000000" w:themeColor="text1"/>
          <w:szCs w:val="24"/>
        </w:rPr>
        <w:t xml:space="preserve"> policy approach used to address concerns regarding low on-time graduation rates, complaints </w:t>
      </w:r>
      <w:r w:rsidR="001F0E4A">
        <w:rPr>
          <w:rFonts w:cs="Times New Roman"/>
          <w:color w:val="000000" w:themeColor="text1"/>
          <w:szCs w:val="24"/>
        </w:rPr>
        <w:t>of</w:t>
      </w:r>
      <w:r w:rsidRPr="00D97962">
        <w:rPr>
          <w:rFonts w:cs="Times New Roman"/>
          <w:color w:val="000000" w:themeColor="text1"/>
          <w:szCs w:val="24"/>
        </w:rPr>
        <w:t xml:space="preserve"> courses not transferring, student debt, and the need for students to take </w:t>
      </w:r>
      <w:r w:rsidRPr="00813FA9">
        <w:rPr>
          <w:rFonts w:cs="Times New Roman"/>
          <w:color w:val="000000" w:themeColor="text1"/>
          <w:szCs w:val="24"/>
        </w:rPr>
        <w:t>additional terms in their academic programs (Holly &amp; Fulton, 2017). Outcomes-based funding models are designed to focus on student success, measured by retention and completion efforts, not just enrollment</w:t>
      </w:r>
      <w:r w:rsidR="00E93989" w:rsidRPr="00813FA9">
        <w:rPr>
          <w:rFonts w:cs="Times New Roman"/>
          <w:color w:val="000000" w:themeColor="text1"/>
          <w:szCs w:val="24"/>
        </w:rPr>
        <w:t xml:space="preserve"> (</w:t>
      </w:r>
      <w:r w:rsidR="00813FA9" w:rsidRPr="00813FA9">
        <w:rPr>
          <w:rFonts w:cs="Times New Roman"/>
          <w:color w:val="000000" w:themeColor="text1"/>
          <w:szCs w:val="24"/>
        </w:rPr>
        <w:t>Holly &amp; Fulton, 2017</w:t>
      </w:r>
      <w:r w:rsidR="00E93989" w:rsidRPr="00813FA9">
        <w:rPr>
          <w:rFonts w:cs="Times New Roman"/>
          <w:color w:val="000000" w:themeColor="text1"/>
          <w:szCs w:val="24"/>
        </w:rPr>
        <w:t>)</w:t>
      </w:r>
      <w:r w:rsidRPr="00813FA9">
        <w:rPr>
          <w:rFonts w:cs="Times New Roman"/>
          <w:color w:val="000000" w:themeColor="text1"/>
          <w:szCs w:val="24"/>
        </w:rPr>
        <w:t>.</w:t>
      </w:r>
      <w:r w:rsidRPr="00D97962">
        <w:rPr>
          <w:rFonts w:cs="Times New Roman"/>
          <w:color w:val="000000" w:themeColor="text1"/>
          <w:szCs w:val="24"/>
        </w:rPr>
        <w:t xml:space="preserve"> </w:t>
      </w:r>
    </w:p>
    <w:p w14:paraId="1CD7F212" w14:textId="4AD2520E" w:rsidR="00291504" w:rsidRPr="00291504" w:rsidRDefault="00D97962" w:rsidP="00D97962">
      <w:pPr>
        <w:rPr>
          <w:rFonts w:cs="Times New Roman"/>
          <w:color w:val="000000" w:themeColor="text1"/>
          <w:szCs w:val="24"/>
        </w:rPr>
      </w:pPr>
      <w:r w:rsidRPr="00D97962">
        <w:rPr>
          <w:rFonts w:cs="Times New Roman"/>
          <w:color w:val="000000" w:themeColor="text1"/>
          <w:szCs w:val="24"/>
        </w:rPr>
        <w:tab/>
        <w:t>Tennessee public colleges and universities are funded based on performance in several areas using the outcomes-based funding formula (</w:t>
      </w:r>
      <w:r w:rsidR="004F75AE">
        <w:rPr>
          <w:rFonts w:cs="Times New Roman"/>
          <w:color w:val="000000" w:themeColor="text1"/>
          <w:szCs w:val="24"/>
        </w:rPr>
        <w:t xml:space="preserve">Testa, 2017; </w:t>
      </w:r>
      <w:r w:rsidR="00286BDB">
        <w:rPr>
          <w:rFonts w:cs="Times New Roman"/>
          <w:color w:val="000000" w:themeColor="text1"/>
          <w:szCs w:val="24"/>
        </w:rPr>
        <w:t>T</w:t>
      </w:r>
      <w:r w:rsidRPr="00D97962">
        <w:rPr>
          <w:rFonts w:cs="Times New Roman"/>
          <w:color w:val="000000" w:themeColor="text1"/>
          <w:szCs w:val="24"/>
        </w:rPr>
        <w:t xml:space="preserve">HEC, </w:t>
      </w:r>
      <w:r w:rsidR="00F87452" w:rsidRPr="00F87452">
        <w:rPr>
          <w:rFonts w:cs="Times New Roman"/>
          <w:color w:val="000000" w:themeColor="text1"/>
          <w:szCs w:val="24"/>
        </w:rPr>
        <w:t>n.d.-b</w:t>
      </w:r>
      <w:r w:rsidRPr="00F87452">
        <w:rPr>
          <w:rFonts w:cs="Times New Roman"/>
          <w:color w:val="000000" w:themeColor="text1"/>
          <w:szCs w:val="24"/>
        </w:rPr>
        <w:t>).</w:t>
      </w:r>
      <w:r w:rsidRPr="00D97962">
        <w:rPr>
          <w:rFonts w:cs="Times New Roman"/>
          <w:color w:val="000000" w:themeColor="text1"/>
          <w:szCs w:val="24"/>
        </w:rPr>
        <w:t xml:space="preserve"> Community College outcomes include: 12, 24, and 36 credit-hour accumulation</w:t>
      </w:r>
      <w:r w:rsidR="00EC0CD0">
        <w:rPr>
          <w:rFonts w:cs="Times New Roman"/>
          <w:color w:val="000000" w:themeColor="text1"/>
          <w:szCs w:val="24"/>
        </w:rPr>
        <w:t xml:space="preserve"> milestones</w:t>
      </w:r>
      <w:r w:rsidRPr="00D97962">
        <w:rPr>
          <w:rFonts w:cs="Times New Roman"/>
          <w:color w:val="000000" w:themeColor="text1"/>
          <w:szCs w:val="24"/>
        </w:rPr>
        <w:t xml:space="preserve">; dual enrollment; associate degrees produced; long-term certificates (one-to two-year certificates); short-term certificates (less than one-year certificates); job placements; transfers out with 12 hours; </w:t>
      </w:r>
      <w:r w:rsidRPr="00D97962">
        <w:rPr>
          <w:rFonts w:cs="Times New Roman"/>
          <w:color w:val="000000" w:themeColor="text1"/>
          <w:szCs w:val="24"/>
        </w:rPr>
        <w:lastRenderedPageBreak/>
        <w:t>workforce training; degrees and certificates per 100 full-time equivalent (FTE) students. (Podesta et al., 2020). Raw data from 2018 to 2020, presented by Podesta et al.</w:t>
      </w:r>
      <w:r w:rsidR="001B3A7C">
        <w:rPr>
          <w:rFonts w:cs="Times New Roman"/>
          <w:color w:val="000000" w:themeColor="text1"/>
          <w:szCs w:val="24"/>
        </w:rPr>
        <w:t xml:space="preserve"> (2020)</w:t>
      </w:r>
      <w:r w:rsidRPr="00D97962">
        <w:rPr>
          <w:rFonts w:cs="Times New Roman"/>
          <w:color w:val="000000" w:themeColor="text1"/>
          <w:szCs w:val="24"/>
        </w:rPr>
        <w:t xml:space="preserve">, show dual enrollment with 19,804 of the total outcomes for all community colleges. </w:t>
      </w:r>
      <w:r w:rsidRPr="005A0B18">
        <w:rPr>
          <w:rFonts w:cs="Times New Roman"/>
          <w:color w:val="000000" w:themeColor="text1"/>
          <w:szCs w:val="24"/>
        </w:rPr>
        <w:t>Dual enrollment remains a crucial component of the outcomes-based funding formula</w:t>
      </w:r>
      <w:r w:rsidR="005A0B18" w:rsidRPr="005A0B18">
        <w:rPr>
          <w:rFonts w:cs="Times New Roman"/>
          <w:color w:val="000000" w:themeColor="text1"/>
          <w:szCs w:val="24"/>
        </w:rPr>
        <w:t xml:space="preserve"> for community colleges (THEC, 2024)</w:t>
      </w:r>
      <w:r w:rsidR="00291504" w:rsidRPr="005A0B18">
        <w:rPr>
          <w:rFonts w:cs="Times New Roman"/>
          <w:color w:val="000000" w:themeColor="text1"/>
          <w:szCs w:val="24"/>
        </w:rPr>
        <w:t>.</w:t>
      </w:r>
      <w:r w:rsidR="00291504" w:rsidRPr="00291504">
        <w:rPr>
          <w:rFonts w:cs="Times New Roman"/>
          <w:color w:val="000000" w:themeColor="text1"/>
          <w:szCs w:val="24"/>
        </w:rPr>
        <w:t xml:space="preserve"> </w:t>
      </w:r>
    </w:p>
    <w:p w14:paraId="236E556A" w14:textId="77777777" w:rsidR="00291504" w:rsidRPr="00E3743C" w:rsidRDefault="00291504" w:rsidP="00E3743C">
      <w:pPr>
        <w:pStyle w:val="Heading3"/>
      </w:pPr>
      <w:bookmarkStart w:id="40" w:name="_Toc224458894"/>
      <w:r w:rsidRPr="00291504">
        <w:rPr>
          <w:rFonts w:cs="Times New Roman"/>
          <w:color w:val="000000" w:themeColor="text1"/>
        </w:rPr>
        <w:t xml:space="preserve">Early Postsecondary Opportunities and </w:t>
      </w:r>
      <w:r w:rsidRPr="00291504">
        <w:rPr>
          <w:rFonts w:cs="Times New Roman"/>
          <w:i/>
          <w:color w:val="000000" w:themeColor="text1"/>
        </w:rPr>
        <w:t>Ready Graduate</w:t>
      </w:r>
      <w:r w:rsidRPr="00291504">
        <w:rPr>
          <w:rFonts w:cs="Times New Roman"/>
          <w:color w:val="000000" w:themeColor="text1"/>
        </w:rPr>
        <w:t xml:space="preserve"> Indicator</w:t>
      </w:r>
      <w:bookmarkEnd w:id="40"/>
    </w:p>
    <w:p w14:paraId="4F90AF11" w14:textId="771CB0EE" w:rsidR="00D97962" w:rsidRPr="00D97962" w:rsidRDefault="00D97962" w:rsidP="00D97962">
      <w:pPr>
        <w:ind w:firstLine="720"/>
        <w:rPr>
          <w:rFonts w:cs="Times New Roman"/>
          <w:color w:val="000000" w:themeColor="text1"/>
          <w:szCs w:val="24"/>
        </w:rPr>
      </w:pPr>
      <w:r w:rsidRPr="00D97962">
        <w:rPr>
          <w:rFonts w:cs="Times New Roman"/>
          <w:color w:val="000000" w:themeColor="text1"/>
          <w:szCs w:val="24"/>
        </w:rPr>
        <w:t xml:space="preserve">Early Postsecondary Opportunities (EPSOs) are opportunities for high school students to obtain postsecondary credits while still in high school. EPSOs in Tennessee include Advanced Placement (AP), Cambridge (CIE), College Level Exam Program (CLEP), Dual Enrollment (DE), International Baccalaureate (IB), Local Dual Credit (LDC), Statewide Dual Credit (SDC), and Industry Certification (IC) </w:t>
      </w:r>
      <w:r w:rsidRPr="00896D37">
        <w:rPr>
          <w:rFonts w:cs="Times New Roman"/>
          <w:color w:val="000000" w:themeColor="text1"/>
          <w:szCs w:val="24"/>
        </w:rPr>
        <w:t>(</w:t>
      </w:r>
      <w:r w:rsidR="005D2F73" w:rsidRPr="00896D37">
        <w:rPr>
          <w:rFonts w:cs="Times New Roman"/>
          <w:color w:val="000000" w:themeColor="text1"/>
          <w:szCs w:val="24"/>
        </w:rPr>
        <w:t xml:space="preserve">TDOE, </w:t>
      </w:r>
      <w:r w:rsidR="00896D37" w:rsidRPr="00896D37">
        <w:rPr>
          <w:rFonts w:cs="Times New Roman"/>
          <w:color w:val="000000" w:themeColor="text1"/>
          <w:szCs w:val="24"/>
        </w:rPr>
        <w:t>n.d.-c</w:t>
      </w:r>
      <w:r w:rsidRPr="00896D37">
        <w:rPr>
          <w:rFonts w:cs="Times New Roman"/>
          <w:color w:val="000000" w:themeColor="text1"/>
          <w:szCs w:val="24"/>
        </w:rPr>
        <w:t>).</w:t>
      </w:r>
      <w:r w:rsidRPr="00D97962">
        <w:rPr>
          <w:rFonts w:cs="Times New Roman"/>
          <w:color w:val="000000" w:themeColor="text1"/>
          <w:szCs w:val="24"/>
        </w:rPr>
        <w:t xml:space="preserve"> </w:t>
      </w:r>
      <w:r w:rsidR="00896D37">
        <w:rPr>
          <w:rFonts w:cs="Times New Roman"/>
          <w:color w:val="000000" w:themeColor="text1"/>
          <w:szCs w:val="24"/>
        </w:rPr>
        <w:t xml:space="preserve">While the Statewide Dual Credit (SDC) courses proved to be a valuable EPSO for the state, the SDC will be phased out by the Tennessee Department of Education, </w:t>
      </w:r>
      <w:r w:rsidR="00525B86">
        <w:rPr>
          <w:rFonts w:cs="Times New Roman"/>
          <w:color w:val="000000" w:themeColor="text1"/>
          <w:szCs w:val="24"/>
        </w:rPr>
        <w:t>fall</w:t>
      </w:r>
      <w:r w:rsidR="00896D37">
        <w:rPr>
          <w:rFonts w:cs="Times New Roman"/>
          <w:color w:val="000000" w:themeColor="text1"/>
          <w:szCs w:val="24"/>
        </w:rPr>
        <w:t xml:space="preserve"> 2025</w:t>
      </w:r>
      <w:r w:rsidR="00C04A9A">
        <w:rPr>
          <w:rFonts w:cs="Times New Roman"/>
          <w:color w:val="000000" w:themeColor="text1"/>
          <w:szCs w:val="24"/>
        </w:rPr>
        <w:t xml:space="preserve"> due to greater student success of other EPSOs including Dual Enrollment</w:t>
      </w:r>
      <w:r w:rsidR="00896D37">
        <w:rPr>
          <w:rFonts w:cs="Times New Roman"/>
          <w:color w:val="000000" w:themeColor="text1"/>
          <w:szCs w:val="24"/>
        </w:rPr>
        <w:t xml:space="preserve"> (</w:t>
      </w:r>
      <w:r w:rsidR="00896D37" w:rsidRPr="00C04A9A">
        <w:rPr>
          <w:rFonts w:cs="Times New Roman"/>
          <w:color w:val="000000" w:themeColor="text1"/>
          <w:szCs w:val="24"/>
        </w:rPr>
        <w:t>TDOE, n.d.-</w:t>
      </w:r>
      <w:r w:rsidR="00C04A9A" w:rsidRPr="00C04A9A">
        <w:rPr>
          <w:rFonts w:cs="Times New Roman"/>
          <w:color w:val="000000" w:themeColor="text1"/>
          <w:szCs w:val="24"/>
        </w:rPr>
        <w:t>i).</w:t>
      </w:r>
      <w:r w:rsidR="00C04A9A">
        <w:rPr>
          <w:rFonts w:cs="Times New Roman"/>
          <w:color w:val="000000" w:themeColor="text1"/>
          <w:szCs w:val="24"/>
        </w:rPr>
        <w:t xml:space="preserve"> The phase out should provide greater access to other EPSOs, such as dual enrollment, to more efficiently meet student needs in college preparation and career (TDOE, n.d.-i).</w:t>
      </w:r>
      <w:r w:rsidR="00715A5B">
        <w:rPr>
          <w:rFonts w:cs="Times New Roman"/>
          <w:color w:val="000000" w:themeColor="text1"/>
          <w:szCs w:val="24"/>
        </w:rPr>
        <w:t xml:space="preserve"> Giani et al. (2014) analysis of dual</w:t>
      </w:r>
      <w:r w:rsidR="008704A4">
        <w:rPr>
          <w:rFonts w:cs="Times New Roman"/>
          <w:color w:val="000000" w:themeColor="text1"/>
          <w:szCs w:val="24"/>
        </w:rPr>
        <w:t xml:space="preserve"> </w:t>
      </w:r>
      <w:r w:rsidR="00715A5B">
        <w:rPr>
          <w:rFonts w:cs="Times New Roman"/>
          <w:color w:val="000000" w:themeColor="text1"/>
          <w:szCs w:val="24"/>
        </w:rPr>
        <w:t>credit in Texas revealed that both advanced and dual</w:t>
      </w:r>
      <w:r w:rsidR="008704A4">
        <w:rPr>
          <w:rFonts w:cs="Times New Roman"/>
          <w:color w:val="000000" w:themeColor="text1"/>
          <w:szCs w:val="24"/>
        </w:rPr>
        <w:t xml:space="preserve"> </w:t>
      </w:r>
      <w:r w:rsidR="00715A5B">
        <w:rPr>
          <w:rFonts w:cs="Times New Roman"/>
          <w:color w:val="000000" w:themeColor="text1"/>
          <w:szCs w:val="24"/>
        </w:rPr>
        <w:t>credit courses</w:t>
      </w:r>
      <w:r w:rsidR="00CA577F">
        <w:rPr>
          <w:rFonts w:cs="Times New Roman"/>
          <w:color w:val="000000" w:themeColor="text1"/>
          <w:szCs w:val="24"/>
        </w:rPr>
        <w:t xml:space="preserve"> improved college outcomes; however, in all core academic disciplines except foreign languages, estimates for the continuous dual</w:t>
      </w:r>
      <w:r w:rsidR="008704A4">
        <w:rPr>
          <w:rFonts w:cs="Times New Roman"/>
          <w:color w:val="000000" w:themeColor="text1"/>
          <w:szCs w:val="24"/>
        </w:rPr>
        <w:t xml:space="preserve"> </w:t>
      </w:r>
      <w:r w:rsidR="00CA577F">
        <w:rPr>
          <w:rFonts w:cs="Times New Roman"/>
          <w:color w:val="000000" w:themeColor="text1"/>
          <w:szCs w:val="24"/>
        </w:rPr>
        <w:t>credit course variables were higher than those for the advanced variables. These findings imply that dual</w:t>
      </w:r>
      <w:r w:rsidR="008704A4">
        <w:rPr>
          <w:rFonts w:cs="Times New Roman"/>
          <w:color w:val="000000" w:themeColor="text1"/>
          <w:szCs w:val="24"/>
        </w:rPr>
        <w:t xml:space="preserve"> </w:t>
      </w:r>
      <w:r w:rsidR="00CA577F">
        <w:rPr>
          <w:rFonts w:cs="Times New Roman"/>
          <w:color w:val="000000" w:themeColor="text1"/>
          <w:szCs w:val="24"/>
        </w:rPr>
        <w:t>enrollment courses frequently offer students more advantages than advanced courses in the same areas (Giani et al., 2014).</w:t>
      </w:r>
    </w:p>
    <w:p w14:paraId="22908656" w14:textId="2D2FBFEF" w:rsidR="00715A5B" w:rsidRPr="00D97962" w:rsidRDefault="00D97962" w:rsidP="008704A4">
      <w:pPr>
        <w:ind w:firstLine="720"/>
        <w:rPr>
          <w:rFonts w:cs="Times New Roman"/>
          <w:color w:val="000000" w:themeColor="text1"/>
          <w:szCs w:val="24"/>
        </w:rPr>
      </w:pPr>
      <w:r w:rsidRPr="00D97962">
        <w:rPr>
          <w:rFonts w:cs="Times New Roman"/>
          <w:color w:val="000000" w:themeColor="text1"/>
          <w:szCs w:val="24"/>
        </w:rPr>
        <w:t>Dual credit programs were implemented in 1972 in Syracuse, New York, through a pr</w:t>
      </w:r>
      <w:r w:rsidR="00AF0723">
        <w:rPr>
          <w:rFonts w:cs="Times New Roman"/>
          <w:color w:val="000000" w:themeColor="text1"/>
          <w:szCs w:val="24"/>
        </w:rPr>
        <w:t>ogram</w:t>
      </w:r>
      <w:r w:rsidRPr="00D97962">
        <w:rPr>
          <w:rFonts w:cs="Times New Roman"/>
          <w:color w:val="000000" w:themeColor="text1"/>
          <w:szCs w:val="24"/>
        </w:rPr>
        <w:t xml:space="preserve"> called Project Advance, as an alternative design to keep students engaged and address </w:t>
      </w:r>
      <w:r w:rsidRPr="00D97962">
        <w:rPr>
          <w:rFonts w:cs="Times New Roman"/>
          <w:color w:val="000000" w:themeColor="text1"/>
          <w:szCs w:val="24"/>
        </w:rPr>
        <w:lastRenderedPageBreak/>
        <w:t>senioritis, thereby transitioning them from high school to college (Edmonds, 2016; Kim et al., 2006). Early targets of the program were high-achieving students, which expanded to include all qualified high school seniors for college-level coursework (Kim et al.</w:t>
      </w:r>
      <w:r w:rsidR="003D1C22">
        <w:rPr>
          <w:rFonts w:cs="Times New Roman"/>
          <w:color w:val="000000" w:themeColor="text1"/>
          <w:szCs w:val="24"/>
        </w:rPr>
        <w:t>, 2006</w:t>
      </w:r>
      <w:r w:rsidRPr="00E42DB3">
        <w:rPr>
          <w:rFonts w:cs="Times New Roman"/>
          <w:color w:val="000000" w:themeColor="text1"/>
          <w:szCs w:val="24"/>
        </w:rPr>
        <w:t>). Early program terminology included “concurrent” and “dual credit”</w:t>
      </w:r>
      <w:r w:rsidR="00E42DB3" w:rsidRPr="00E42DB3">
        <w:rPr>
          <w:rFonts w:cs="Times New Roman"/>
          <w:color w:val="000000" w:themeColor="text1"/>
          <w:szCs w:val="24"/>
        </w:rPr>
        <w:t xml:space="preserve"> (</w:t>
      </w:r>
      <w:r w:rsidR="00E42DB3">
        <w:rPr>
          <w:rFonts w:cs="Times New Roman"/>
          <w:color w:val="000000" w:themeColor="text1"/>
          <w:szCs w:val="24"/>
        </w:rPr>
        <w:t>CCRC, 2024).</w:t>
      </w:r>
      <w:r w:rsidRPr="00D97962">
        <w:rPr>
          <w:rFonts w:cs="Times New Roman"/>
          <w:color w:val="000000" w:themeColor="text1"/>
          <w:szCs w:val="24"/>
        </w:rPr>
        <w:t xml:space="preserve">  The establishment of concurrent enrollment was a relationship between school districts, schools, and higher education institutions for students who had completed the bulk of their high school coursework and could begin gaining college credit (Edmonds, 2016).</w:t>
      </w:r>
    </w:p>
    <w:p w14:paraId="32F1FBCE" w14:textId="69A0F3A2" w:rsidR="00D97962" w:rsidRPr="00D97962" w:rsidRDefault="00D97962" w:rsidP="00D97962">
      <w:pPr>
        <w:ind w:firstLine="720"/>
        <w:rPr>
          <w:rFonts w:cs="Times New Roman"/>
          <w:color w:val="000000" w:themeColor="text1"/>
          <w:szCs w:val="24"/>
        </w:rPr>
      </w:pPr>
      <w:r w:rsidRPr="00D97962">
        <w:rPr>
          <w:rFonts w:cs="Times New Roman"/>
          <w:color w:val="000000" w:themeColor="text1"/>
          <w:szCs w:val="24"/>
        </w:rPr>
        <w:t>Tennessee has established</w:t>
      </w:r>
      <w:r w:rsidRPr="00D97962">
        <w:rPr>
          <w:rFonts w:cs="Times New Roman"/>
          <w:i/>
          <w:color w:val="000000" w:themeColor="text1"/>
          <w:szCs w:val="24"/>
        </w:rPr>
        <w:t xml:space="preserve"> Ready Graduate</w:t>
      </w:r>
      <w:r w:rsidRPr="00D97962">
        <w:rPr>
          <w:rFonts w:cs="Times New Roman"/>
          <w:color w:val="000000" w:themeColor="text1"/>
          <w:szCs w:val="24"/>
        </w:rPr>
        <w:t>, which is an accountability metric used to measure the percentage of students who earn a high school diploma and reach milestones of success that increase the probability of enrollment into college,</w:t>
      </w:r>
      <w:r w:rsidR="00AF0723">
        <w:rPr>
          <w:rFonts w:cs="Times New Roman"/>
          <w:color w:val="000000" w:themeColor="text1"/>
          <w:szCs w:val="24"/>
        </w:rPr>
        <w:t xml:space="preserve"> </w:t>
      </w:r>
      <w:r w:rsidRPr="00FF5082">
        <w:rPr>
          <w:rFonts w:cs="Times New Roman"/>
          <w:color w:val="000000" w:themeColor="text1"/>
          <w:szCs w:val="24"/>
        </w:rPr>
        <w:t>(</w:t>
      </w:r>
      <w:r w:rsidR="00FF5082" w:rsidRPr="00FF5082">
        <w:rPr>
          <w:rFonts w:cs="Times New Roman"/>
          <w:color w:val="000000" w:themeColor="text1"/>
          <w:szCs w:val="24"/>
        </w:rPr>
        <w:t>TDOE</w:t>
      </w:r>
      <w:r w:rsidR="005D2F73" w:rsidRPr="00FF5082">
        <w:rPr>
          <w:rFonts w:cs="Times New Roman"/>
          <w:color w:val="000000" w:themeColor="text1"/>
          <w:szCs w:val="24"/>
        </w:rPr>
        <w:t>,</w:t>
      </w:r>
      <w:r w:rsidR="00FF5082" w:rsidRPr="00FF5082">
        <w:rPr>
          <w:rFonts w:cs="Times New Roman"/>
          <w:color w:val="000000" w:themeColor="text1"/>
          <w:szCs w:val="24"/>
        </w:rPr>
        <w:t xml:space="preserve"> 2021</w:t>
      </w:r>
      <w:r w:rsidR="00A47545">
        <w:rPr>
          <w:rFonts w:cs="Times New Roman"/>
          <w:color w:val="000000" w:themeColor="text1"/>
          <w:szCs w:val="24"/>
        </w:rPr>
        <w:t>a</w:t>
      </w:r>
      <w:r w:rsidRPr="00FF5082">
        <w:rPr>
          <w:rFonts w:cs="Times New Roman"/>
          <w:color w:val="000000" w:themeColor="text1"/>
          <w:szCs w:val="24"/>
        </w:rPr>
        <w:t>).</w:t>
      </w:r>
      <w:r w:rsidRPr="00D97962">
        <w:rPr>
          <w:rFonts w:cs="Times New Roman"/>
          <w:color w:val="000000" w:themeColor="text1"/>
          <w:szCs w:val="24"/>
        </w:rPr>
        <w:t xml:space="preserve"> EPSOs are included within the four </w:t>
      </w:r>
      <w:r w:rsidRPr="00D97962">
        <w:rPr>
          <w:rFonts w:cs="Times New Roman"/>
          <w:i/>
          <w:color w:val="000000" w:themeColor="text1"/>
          <w:szCs w:val="24"/>
        </w:rPr>
        <w:t>Ready Graduate</w:t>
      </w:r>
      <w:r w:rsidRPr="00D97962">
        <w:rPr>
          <w:rFonts w:cs="Times New Roman"/>
          <w:color w:val="000000" w:themeColor="text1"/>
          <w:szCs w:val="24"/>
        </w:rPr>
        <w:t xml:space="preserve"> criteria. </w:t>
      </w:r>
      <w:r w:rsidRPr="00D97962">
        <w:rPr>
          <w:rFonts w:cs="Times New Roman"/>
          <w:i/>
          <w:color w:val="000000" w:themeColor="text1"/>
          <w:szCs w:val="24"/>
        </w:rPr>
        <w:t xml:space="preserve">Ready Graduate </w:t>
      </w:r>
      <w:r w:rsidRPr="00D97962">
        <w:rPr>
          <w:rFonts w:cs="Times New Roman"/>
          <w:color w:val="000000" w:themeColor="text1"/>
          <w:szCs w:val="24"/>
        </w:rPr>
        <w:t>is one indicator used by the state to meet the requirements of the federal Every Student Succeeds Act (ESSA</w:t>
      </w:r>
      <w:r w:rsidRPr="00FF5082">
        <w:rPr>
          <w:rFonts w:cs="Times New Roman"/>
          <w:color w:val="000000" w:themeColor="text1"/>
          <w:szCs w:val="24"/>
        </w:rPr>
        <w:t>) (</w:t>
      </w:r>
      <w:r w:rsidR="005D2F73" w:rsidRPr="00FF5082">
        <w:rPr>
          <w:rFonts w:cs="Times New Roman"/>
          <w:color w:val="000000" w:themeColor="text1"/>
          <w:szCs w:val="24"/>
        </w:rPr>
        <w:t>TDOE,</w:t>
      </w:r>
      <w:r w:rsidR="00FF5082" w:rsidRPr="00FF5082">
        <w:rPr>
          <w:rFonts w:cs="Times New Roman"/>
          <w:color w:val="000000" w:themeColor="text1"/>
          <w:szCs w:val="24"/>
        </w:rPr>
        <w:t xml:space="preserve"> 2021</w:t>
      </w:r>
      <w:r w:rsidR="00A47545">
        <w:rPr>
          <w:rFonts w:cs="Times New Roman"/>
          <w:color w:val="000000" w:themeColor="text1"/>
          <w:szCs w:val="24"/>
        </w:rPr>
        <w:t>b</w:t>
      </w:r>
      <w:r w:rsidRPr="00FF5082">
        <w:rPr>
          <w:rFonts w:cs="Times New Roman"/>
          <w:color w:val="000000" w:themeColor="text1"/>
          <w:szCs w:val="24"/>
        </w:rPr>
        <w:t>).</w:t>
      </w:r>
      <w:r w:rsidRPr="00D97962">
        <w:rPr>
          <w:rFonts w:cs="Times New Roman"/>
          <w:color w:val="000000" w:themeColor="text1"/>
          <w:szCs w:val="24"/>
        </w:rPr>
        <w:t xml:space="preserve"> Dual enrollment is one of the eight EPSOs recognized by the Tennessee Department of Education, which are part of the accountability metric</w:t>
      </w:r>
      <w:r w:rsidR="00A47545">
        <w:rPr>
          <w:rFonts w:cs="Times New Roman"/>
          <w:color w:val="000000" w:themeColor="text1"/>
          <w:szCs w:val="24"/>
        </w:rPr>
        <w:t xml:space="preserve"> (TDOE, n.d.-d; TDOE, 2021b)</w:t>
      </w:r>
      <w:r w:rsidRPr="00D97962">
        <w:rPr>
          <w:rFonts w:cs="Times New Roman"/>
          <w:color w:val="000000" w:themeColor="text1"/>
          <w:szCs w:val="24"/>
        </w:rPr>
        <w:t xml:space="preserve">. </w:t>
      </w:r>
    </w:p>
    <w:p w14:paraId="66B0CED1" w14:textId="4C3E2754" w:rsidR="007A7542" w:rsidRPr="00D97962" w:rsidRDefault="00D97962" w:rsidP="00C81559">
      <w:pPr>
        <w:ind w:firstLine="720"/>
        <w:rPr>
          <w:rFonts w:cs="Times New Roman"/>
          <w:color w:val="000000" w:themeColor="text1"/>
          <w:szCs w:val="24"/>
        </w:rPr>
      </w:pPr>
      <w:r w:rsidRPr="00D97962">
        <w:rPr>
          <w:rFonts w:cs="Times New Roman"/>
          <w:color w:val="000000" w:themeColor="text1"/>
          <w:szCs w:val="24"/>
        </w:rPr>
        <w:t>According to the T</w:t>
      </w:r>
      <w:r w:rsidR="005D2F73">
        <w:rPr>
          <w:rFonts w:cs="Times New Roman"/>
          <w:color w:val="000000" w:themeColor="text1"/>
          <w:szCs w:val="24"/>
        </w:rPr>
        <w:t>ennessee</w:t>
      </w:r>
      <w:r w:rsidRPr="00D97962">
        <w:rPr>
          <w:rFonts w:cs="Times New Roman"/>
          <w:color w:val="000000" w:themeColor="text1"/>
          <w:szCs w:val="24"/>
        </w:rPr>
        <w:t xml:space="preserve"> Department of Education’s website on </w:t>
      </w:r>
      <w:r w:rsidR="001C7986">
        <w:rPr>
          <w:rFonts w:cs="Times New Roman"/>
          <w:color w:val="000000" w:themeColor="text1"/>
          <w:szCs w:val="24"/>
        </w:rPr>
        <w:t>e</w:t>
      </w:r>
      <w:r w:rsidRPr="00D97962">
        <w:rPr>
          <w:rFonts w:cs="Times New Roman"/>
          <w:color w:val="000000" w:themeColor="text1"/>
          <w:szCs w:val="24"/>
        </w:rPr>
        <w:t xml:space="preserve">arly </w:t>
      </w:r>
      <w:r w:rsidR="001C7986">
        <w:rPr>
          <w:rFonts w:cs="Times New Roman"/>
          <w:color w:val="000000" w:themeColor="text1"/>
          <w:szCs w:val="24"/>
        </w:rPr>
        <w:t>p</w:t>
      </w:r>
      <w:r w:rsidRPr="00D97962">
        <w:rPr>
          <w:rFonts w:cs="Times New Roman"/>
          <w:color w:val="000000" w:themeColor="text1"/>
          <w:szCs w:val="24"/>
        </w:rPr>
        <w:t xml:space="preserve">ostsecondary </w:t>
      </w:r>
      <w:r w:rsidR="001C7986">
        <w:rPr>
          <w:rFonts w:cs="Times New Roman"/>
          <w:color w:val="000000" w:themeColor="text1"/>
          <w:szCs w:val="24"/>
        </w:rPr>
        <w:t>o</w:t>
      </w:r>
      <w:r w:rsidRPr="00D97962">
        <w:rPr>
          <w:rFonts w:cs="Times New Roman"/>
          <w:color w:val="000000" w:themeColor="text1"/>
          <w:szCs w:val="24"/>
        </w:rPr>
        <w:t>pportunities,</w:t>
      </w:r>
      <w:r w:rsidRPr="00D97962">
        <w:rPr>
          <w:rFonts w:cs="Times New Roman"/>
          <w:szCs w:val="24"/>
        </w:rPr>
        <w:t xml:space="preserve"> “</w:t>
      </w:r>
      <w:r w:rsidRPr="00A62CCC">
        <w:rPr>
          <w:rFonts w:cs="Times New Roman"/>
          <w:szCs w:val="24"/>
        </w:rPr>
        <w:t>research has shown that students who participate in early postsecondary courses are more likely to enroll and persist in postsecondary environments”</w:t>
      </w:r>
      <w:r w:rsidRPr="00D97962">
        <w:rPr>
          <w:rFonts w:cs="Times New Roman"/>
          <w:szCs w:val="24"/>
        </w:rPr>
        <w:t xml:space="preserve"> (</w:t>
      </w:r>
      <w:r w:rsidRPr="00FF5082">
        <w:rPr>
          <w:rFonts w:cs="Times New Roman"/>
          <w:szCs w:val="24"/>
        </w:rPr>
        <w:t>T</w:t>
      </w:r>
      <w:r w:rsidR="00FF5082" w:rsidRPr="00FF5082">
        <w:rPr>
          <w:rFonts w:cs="Times New Roman"/>
          <w:szCs w:val="24"/>
        </w:rPr>
        <w:t>DOE</w:t>
      </w:r>
      <w:r w:rsidR="005D2F73" w:rsidRPr="00FF5082">
        <w:rPr>
          <w:rFonts w:cs="Times New Roman"/>
          <w:szCs w:val="24"/>
        </w:rPr>
        <w:t>,</w:t>
      </w:r>
      <w:r w:rsidR="00FF5082" w:rsidRPr="00FF5082">
        <w:rPr>
          <w:rFonts w:cs="Times New Roman"/>
          <w:szCs w:val="24"/>
        </w:rPr>
        <w:t xml:space="preserve"> n.d.-</w:t>
      </w:r>
      <w:r w:rsidR="00A62CCC">
        <w:rPr>
          <w:rFonts w:cs="Times New Roman"/>
          <w:szCs w:val="24"/>
        </w:rPr>
        <w:t>c</w:t>
      </w:r>
      <w:r w:rsidRPr="00FF5082">
        <w:rPr>
          <w:rFonts w:cs="Times New Roman"/>
          <w:szCs w:val="24"/>
        </w:rPr>
        <w:t>).</w:t>
      </w:r>
      <w:r w:rsidRPr="00D97962">
        <w:rPr>
          <w:rFonts w:cs="Times New Roman"/>
          <w:szCs w:val="24"/>
        </w:rPr>
        <w:t xml:space="preserve"> </w:t>
      </w:r>
      <w:r w:rsidR="001459EF">
        <w:rPr>
          <w:rFonts w:cs="Times New Roman"/>
          <w:color w:val="000000" w:themeColor="text1"/>
          <w:szCs w:val="24"/>
        </w:rPr>
        <w:t>The expansion of EPSOs are one</w:t>
      </w:r>
      <w:r w:rsidR="002F33BC">
        <w:rPr>
          <w:rFonts w:cs="Times New Roman"/>
          <w:color w:val="000000" w:themeColor="text1"/>
          <w:szCs w:val="24"/>
        </w:rPr>
        <w:t xml:space="preserve"> tactic states employed to solve the twin challenges </w:t>
      </w:r>
      <w:r w:rsidR="00EF0452">
        <w:rPr>
          <w:rFonts w:cs="Times New Roman"/>
          <w:color w:val="000000" w:themeColor="text1"/>
          <w:szCs w:val="24"/>
        </w:rPr>
        <w:t>of</w:t>
      </w:r>
      <w:r w:rsidR="002F33BC">
        <w:rPr>
          <w:rFonts w:cs="Times New Roman"/>
          <w:color w:val="000000" w:themeColor="text1"/>
          <w:szCs w:val="24"/>
        </w:rPr>
        <w:t xml:space="preserve"> rais</w:t>
      </w:r>
      <w:r w:rsidR="00EF0452">
        <w:rPr>
          <w:rFonts w:cs="Times New Roman"/>
          <w:color w:val="000000" w:themeColor="text1"/>
          <w:szCs w:val="24"/>
        </w:rPr>
        <w:t>ing</w:t>
      </w:r>
      <w:r w:rsidR="002F33BC">
        <w:rPr>
          <w:rFonts w:cs="Times New Roman"/>
          <w:color w:val="000000" w:themeColor="text1"/>
          <w:szCs w:val="24"/>
        </w:rPr>
        <w:t xml:space="preserve"> post-secondary attainment rates and lower</w:t>
      </w:r>
      <w:r w:rsidR="00EF0452">
        <w:rPr>
          <w:rFonts w:cs="Times New Roman"/>
          <w:color w:val="000000" w:themeColor="text1"/>
          <w:szCs w:val="24"/>
        </w:rPr>
        <w:t>ing</w:t>
      </w:r>
      <w:r w:rsidR="002F33BC">
        <w:rPr>
          <w:rFonts w:cs="Times New Roman"/>
          <w:color w:val="000000" w:themeColor="text1"/>
          <w:szCs w:val="24"/>
        </w:rPr>
        <w:t xml:space="preserve"> academic under preparedness among college-bound students </w:t>
      </w:r>
      <w:r w:rsidR="005C193B">
        <w:rPr>
          <w:rFonts w:cs="Times New Roman"/>
          <w:color w:val="000000" w:themeColor="text1"/>
          <w:szCs w:val="24"/>
        </w:rPr>
        <w:t xml:space="preserve">(Hemelt &amp; Swiderski, 2022). </w:t>
      </w:r>
      <w:r w:rsidR="00203392">
        <w:rPr>
          <w:rFonts w:cs="Times New Roman"/>
          <w:color w:val="000000" w:themeColor="text1"/>
          <w:szCs w:val="24"/>
        </w:rPr>
        <w:t xml:space="preserve">More students from a variety of backgrounds across the nation are participating in high school accelerated learning programs that grant college-level credit (Martinez et al., 2018). </w:t>
      </w:r>
      <w:r w:rsidRPr="00D97962">
        <w:rPr>
          <w:rFonts w:cs="Times New Roman"/>
          <w:color w:val="000000" w:themeColor="text1"/>
          <w:szCs w:val="24"/>
        </w:rPr>
        <w:t xml:space="preserve">EPSOs </w:t>
      </w:r>
      <w:r w:rsidR="00E42DB3">
        <w:rPr>
          <w:rFonts w:cs="Times New Roman"/>
          <w:color w:val="000000" w:themeColor="text1"/>
          <w:szCs w:val="24"/>
        </w:rPr>
        <w:t xml:space="preserve">can </w:t>
      </w:r>
      <w:r w:rsidRPr="00D97962">
        <w:rPr>
          <w:rFonts w:cs="Times New Roman"/>
          <w:color w:val="000000" w:themeColor="text1"/>
          <w:szCs w:val="24"/>
        </w:rPr>
        <w:t xml:space="preserve">benefit high schools’ educational goals, help bridge the gap between </w:t>
      </w:r>
      <w:r w:rsidRPr="004828B2">
        <w:rPr>
          <w:rFonts w:cs="Times New Roman"/>
          <w:color w:val="000000" w:themeColor="text1"/>
          <w:szCs w:val="24"/>
        </w:rPr>
        <w:t xml:space="preserve">high schools and colleges, and contribute as a strategy to increase college </w:t>
      </w:r>
      <w:r w:rsidR="00CE4A33" w:rsidRPr="004828B2">
        <w:rPr>
          <w:rFonts w:cs="Times New Roman"/>
          <w:color w:val="000000" w:themeColor="text1"/>
          <w:szCs w:val="24"/>
        </w:rPr>
        <w:t>success</w:t>
      </w:r>
      <w:r w:rsidR="00E42DB3" w:rsidRPr="004828B2">
        <w:rPr>
          <w:rFonts w:cs="Times New Roman"/>
          <w:color w:val="000000" w:themeColor="text1"/>
          <w:szCs w:val="24"/>
        </w:rPr>
        <w:t xml:space="preserve"> </w:t>
      </w:r>
      <w:r w:rsidR="00E42DB3" w:rsidRPr="004828B2">
        <w:rPr>
          <w:rFonts w:cs="Times New Roman"/>
          <w:color w:val="000000" w:themeColor="text1"/>
          <w:szCs w:val="24"/>
        </w:rPr>
        <w:lastRenderedPageBreak/>
        <w:t>(</w:t>
      </w:r>
      <w:r w:rsidR="00895AA3" w:rsidRPr="004828B2">
        <w:rPr>
          <w:rFonts w:cs="Times New Roman"/>
          <w:color w:val="000000" w:themeColor="text1"/>
          <w:szCs w:val="24"/>
        </w:rPr>
        <w:t>Tennessee SCORE, 2023)</w:t>
      </w:r>
      <w:r w:rsidRPr="004828B2">
        <w:rPr>
          <w:rFonts w:cs="Times New Roman"/>
          <w:color w:val="000000" w:themeColor="text1"/>
          <w:szCs w:val="24"/>
        </w:rPr>
        <w:t xml:space="preserve">. </w:t>
      </w:r>
      <w:r w:rsidR="005C193B" w:rsidRPr="004828B2">
        <w:rPr>
          <w:rFonts w:cs="Times New Roman"/>
          <w:color w:val="000000" w:themeColor="text1"/>
          <w:szCs w:val="24"/>
        </w:rPr>
        <w:t>In an attempt to address issues with systems, Tennessee was the first state to create its own program (Hemelt &amp; Swiderski, 2022).</w:t>
      </w:r>
      <w:r w:rsidR="008C486C">
        <w:rPr>
          <w:rFonts w:cs="Times New Roman"/>
          <w:color w:val="000000" w:themeColor="text1"/>
          <w:szCs w:val="24"/>
        </w:rPr>
        <w:t xml:space="preserve"> According to state law, Texas public school districts must provide students with the chance to earn at least 12 college credit hours through Advanced Placement (AP), International Baccalaureate (IB), or dual enrollment courses (</w:t>
      </w:r>
      <w:r w:rsidR="00EB3B11">
        <w:rPr>
          <w:rFonts w:cs="Times New Roman"/>
          <w:color w:val="000000" w:themeColor="text1"/>
          <w:szCs w:val="24"/>
        </w:rPr>
        <w:t>Martinez, et al., 2018).</w:t>
      </w:r>
      <w:r w:rsidR="005C193B">
        <w:rPr>
          <w:rFonts w:cs="Times New Roman"/>
          <w:color w:val="000000" w:themeColor="text1"/>
          <w:szCs w:val="24"/>
        </w:rPr>
        <w:t xml:space="preserve"> </w:t>
      </w:r>
      <w:r w:rsidRPr="00D97962">
        <w:rPr>
          <w:rFonts w:cs="Times New Roman"/>
          <w:color w:val="000000" w:themeColor="text1"/>
          <w:szCs w:val="24"/>
        </w:rPr>
        <w:t>“No longer is it solely a high school enrichment program; rather, it becomes a tool in the larger effort to ensure that all U.S. students have the opportunity to obtain a college credential” (Karp, 2015, p. 109).</w:t>
      </w:r>
      <w:r w:rsidR="00BD5AC0">
        <w:rPr>
          <w:rFonts w:cs="Times New Roman"/>
          <w:color w:val="000000" w:themeColor="text1"/>
          <w:szCs w:val="24"/>
        </w:rPr>
        <w:t xml:space="preserve"> </w:t>
      </w:r>
      <w:r w:rsidR="00DC2BF3">
        <w:rPr>
          <w:rFonts w:cs="Times New Roman"/>
          <w:color w:val="000000" w:themeColor="text1"/>
          <w:szCs w:val="24"/>
        </w:rPr>
        <w:t>D</w:t>
      </w:r>
      <w:r w:rsidRPr="00D97962">
        <w:rPr>
          <w:rFonts w:cs="Times New Roman"/>
          <w:color w:val="000000" w:themeColor="text1"/>
          <w:szCs w:val="24"/>
        </w:rPr>
        <w:t>ual enrollment and the community college are key tools in the toolbox for success to meet</w:t>
      </w:r>
      <w:r w:rsidR="00DC2BF3">
        <w:rPr>
          <w:rFonts w:cs="Times New Roman"/>
          <w:color w:val="000000" w:themeColor="text1"/>
          <w:szCs w:val="24"/>
        </w:rPr>
        <w:t xml:space="preserve"> today’s </w:t>
      </w:r>
      <w:r w:rsidRPr="00D97962">
        <w:rPr>
          <w:rFonts w:cs="Times New Roman"/>
          <w:color w:val="000000" w:themeColor="text1"/>
          <w:szCs w:val="24"/>
        </w:rPr>
        <w:t>challenge</w:t>
      </w:r>
      <w:r w:rsidR="00DC2BF3">
        <w:rPr>
          <w:rFonts w:cs="Times New Roman"/>
          <w:color w:val="000000" w:themeColor="text1"/>
          <w:szCs w:val="24"/>
        </w:rPr>
        <w:t xml:space="preserve">s as </w:t>
      </w:r>
      <w:r w:rsidR="00FE5B07">
        <w:rPr>
          <w:rFonts w:cs="Times New Roman"/>
          <w:color w:val="000000" w:themeColor="text1"/>
          <w:szCs w:val="24"/>
        </w:rPr>
        <w:t>dual enrollment growth is especially prevalent at community college across states, showing a strong source of post-high-school enrollments (Velasco et al., 2024)</w:t>
      </w:r>
      <w:r w:rsidRPr="00D97962">
        <w:rPr>
          <w:rFonts w:cs="Times New Roman"/>
          <w:color w:val="000000" w:themeColor="text1"/>
          <w:szCs w:val="24"/>
        </w:rPr>
        <w:t xml:space="preserve">. </w:t>
      </w:r>
    </w:p>
    <w:p w14:paraId="3903F564" w14:textId="07778C5F" w:rsidR="004F5BC5" w:rsidRDefault="00AE4D79" w:rsidP="00960998">
      <w:pPr>
        <w:ind w:firstLine="720"/>
        <w:rPr>
          <w:rFonts w:cs="Times New Roman"/>
          <w:color w:val="000000" w:themeColor="text1"/>
          <w:szCs w:val="24"/>
        </w:rPr>
      </w:pPr>
      <w:r>
        <w:rPr>
          <w:rFonts w:cs="Times New Roman"/>
          <w:color w:val="000000" w:themeColor="text1"/>
          <w:szCs w:val="24"/>
        </w:rPr>
        <w:t>It has long been a practice in American high schools to give students early access to college courses through Advanced Placement (AP) or Dual enrollment opportunities (</w:t>
      </w:r>
      <w:r w:rsidR="00726676">
        <w:rPr>
          <w:rFonts w:cs="Times New Roman"/>
          <w:color w:val="000000" w:themeColor="text1"/>
          <w:szCs w:val="24"/>
        </w:rPr>
        <w:t xml:space="preserve">Edmunds et al., 2017). </w:t>
      </w:r>
      <w:r w:rsidR="00765285">
        <w:rPr>
          <w:rFonts w:cs="Times New Roman"/>
          <w:color w:val="000000" w:themeColor="text1"/>
          <w:szCs w:val="24"/>
        </w:rPr>
        <w:t xml:space="preserve">Given its significance to the American economy, educational leaders and legislators have made college readiness a top focus (Kolluri, 2018). </w:t>
      </w:r>
      <w:r w:rsidR="00726676">
        <w:rPr>
          <w:rFonts w:cs="Times New Roman"/>
          <w:color w:val="000000" w:themeColor="text1"/>
          <w:szCs w:val="24"/>
        </w:rPr>
        <w:t xml:space="preserve">One approach to improve academic readiness for </w:t>
      </w:r>
      <w:r w:rsidR="002F33BC">
        <w:rPr>
          <w:rFonts w:cs="Times New Roman"/>
          <w:color w:val="000000" w:themeColor="text1"/>
          <w:szCs w:val="24"/>
        </w:rPr>
        <w:t>post-secondary</w:t>
      </w:r>
      <w:r w:rsidR="00726676">
        <w:rPr>
          <w:rFonts w:cs="Times New Roman"/>
          <w:color w:val="000000" w:themeColor="text1"/>
          <w:szCs w:val="24"/>
        </w:rPr>
        <w:t xml:space="preserve"> education is to</w:t>
      </w:r>
      <w:r w:rsidR="00F51F6D">
        <w:rPr>
          <w:rFonts w:cs="Times New Roman"/>
          <w:color w:val="000000" w:themeColor="text1"/>
          <w:szCs w:val="24"/>
        </w:rPr>
        <w:t xml:space="preserve"> allow </w:t>
      </w:r>
      <w:r w:rsidR="00726676">
        <w:rPr>
          <w:rFonts w:cs="Times New Roman"/>
          <w:color w:val="000000" w:themeColor="text1"/>
          <w:szCs w:val="24"/>
        </w:rPr>
        <w:t xml:space="preserve">high school </w:t>
      </w:r>
      <w:r w:rsidR="002F33BC">
        <w:rPr>
          <w:rFonts w:cs="Times New Roman"/>
          <w:color w:val="000000" w:themeColor="text1"/>
          <w:szCs w:val="24"/>
        </w:rPr>
        <w:t>students</w:t>
      </w:r>
      <w:r w:rsidR="00F51F6D">
        <w:rPr>
          <w:rFonts w:cs="Times New Roman"/>
          <w:color w:val="000000" w:themeColor="text1"/>
          <w:szCs w:val="24"/>
        </w:rPr>
        <w:t xml:space="preserve"> access to</w:t>
      </w:r>
      <w:r w:rsidR="00726676">
        <w:rPr>
          <w:rFonts w:cs="Times New Roman"/>
          <w:color w:val="000000" w:themeColor="text1"/>
          <w:szCs w:val="24"/>
        </w:rPr>
        <w:t xml:space="preserve"> college-level work, which can expose them to college standards, expectations, and material and allow them to earn college credits</w:t>
      </w:r>
      <w:r w:rsidR="002F33BC">
        <w:rPr>
          <w:rFonts w:cs="Times New Roman"/>
          <w:color w:val="000000" w:themeColor="text1"/>
          <w:szCs w:val="24"/>
        </w:rPr>
        <w:t xml:space="preserve"> </w:t>
      </w:r>
      <w:r w:rsidR="00726676">
        <w:rPr>
          <w:rFonts w:cs="Times New Roman"/>
          <w:color w:val="000000" w:themeColor="text1"/>
          <w:szCs w:val="24"/>
        </w:rPr>
        <w:t>(</w:t>
      </w:r>
      <w:r w:rsidR="002F33BC">
        <w:rPr>
          <w:rFonts w:cs="Times New Roman"/>
          <w:color w:val="000000" w:themeColor="text1"/>
          <w:szCs w:val="24"/>
        </w:rPr>
        <w:t>Hemelt &amp; Swiderski, 2022)</w:t>
      </w:r>
      <w:r w:rsidR="00726676">
        <w:rPr>
          <w:rFonts w:cs="Times New Roman"/>
          <w:color w:val="000000" w:themeColor="text1"/>
          <w:szCs w:val="24"/>
        </w:rPr>
        <w:t xml:space="preserve">. </w:t>
      </w:r>
      <w:r w:rsidR="00674712">
        <w:rPr>
          <w:rFonts w:cs="Times New Roman"/>
          <w:color w:val="000000" w:themeColor="text1"/>
          <w:szCs w:val="24"/>
        </w:rPr>
        <w:t>Advanced Placement</w:t>
      </w:r>
      <w:r w:rsidR="00E24F62">
        <w:rPr>
          <w:rFonts w:cs="Times New Roman"/>
          <w:color w:val="000000" w:themeColor="text1"/>
          <w:szCs w:val="24"/>
        </w:rPr>
        <w:t xml:space="preserve"> and</w:t>
      </w:r>
      <w:r w:rsidR="00674712">
        <w:rPr>
          <w:rFonts w:cs="Times New Roman"/>
          <w:color w:val="000000" w:themeColor="text1"/>
          <w:szCs w:val="24"/>
        </w:rPr>
        <w:t xml:space="preserve"> </w:t>
      </w:r>
      <w:r w:rsidR="00E24F62">
        <w:rPr>
          <w:rFonts w:cs="Times New Roman"/>
          <w:color w:val="000000" w:themeColor="text1"/>
          <w:szCs w:val="24"/>
        </w:rPr>
        <w:t xml:space="preserve">Dual enrollment </w:t>
      </w:r>
      <w:r w:rsidR="00674712">
        <w:rPr>
          <w:rFonts w:cs="Times New Roman"/>
          <w:color w:val="000000" w:themeColor="text1"/>
          <w:szCs w:val="24"/>
        </w:rPr>
        <w:t xml:space="preserve">are two of the largest college acceleration programs intended to help students get a jump start in college (Xu et al., 2021). </w:t>
      </w:r>
      <w:r w:rsidR="003C6185" w:rsidRPr="00615859">
        <w:rPr>
          <w:rFonts w:cs="Times New Roman"/>
          <w:color w:val="000000" w:themeColor="text1"/>
          <w:szCs w:val="24"/>
        </w:rPr>
        <w:t>Dual enrollment programs differ from Advanced Placement programs in several ways, despite the fact that they are frequently compared (Martinez et al., 2018).</w:t>
      </w:r>
      <w:r w:rsidR="008C486C">
        <w:rPr>
          <w:rFonts w:cs="Times New Roman"/>
          <w:color w:val="000000" w:themeColor="text1"/>
          <w:szCs w:val="24"/>
        </w:rPr>
        <w:t xml:space="preserve"> </w:t>
      </w:r>
      <w:r w:rsidR="00726676">
        <w:rPr>
          <w:rFonts w:cs="Times New Roman"/>
          <w:color w:val="000000" w:themeColor="text1"/>
          <w:szCs w:val="24"/>
        </w:rPr>
        <w:t>High school students can enroll in courses offered by nearby colleges through dual enrollment</w:t>
      </w:r>
      <w:r w:rsidR="002F33BC">
        <w:rPr>
          <w:rFonts w:cs="Times New Roman"/>
          <w:color w:val="000000" w:themeColor="text1"/>
          <w:szCs w:val="24"/>
        </w:rPr>
        <w:t xml:space="preserve"> while advanced placement is a </w:t>
      </w:r>
      <w:r w:rsidR="002F33BC" w:rsidRPr="00615859">
        <w:rPr>
          <w:rFonts w:cs="Times New Roman"/>
          <w:color w:val="000000" w:themeColor="text1"/>
          <w:szCs w:val="24"/>
        </w:rPr>
        <w:t>national program of standardized college-level courses intended to be taught in high schools (Hemelt &amp; Swiderski, 2022)</w:t>
      </w:r>
      <w:r w:rsidR="00517604">
        <w:rPr>
          <w:rFonts w:cs="Times New Roman"/>
          <w:color w:val="000000" w:themeColor="text1"/>
          <w:szCs w:val="24"/>
        </w:rPr>
        <w:t xml:space="preserve">, as well as a required optional exam to </w:t>
      </w:r>
      <w:r w:rsidR="00517604">
        <w:rPr>
          <w:rFonts w:cs="Times New Roman"/>
          <w:color w:val="000000" w:themeColor="text1"/>
          <w:szCs w:val="24"/>
        </w:rPr>
        <w:lastRenderedPageBreak/>
        <w:t>receive credit for the course (Speroni, 2011)</w:t>
      </w:r>
      <w:r w:rsidR="002F33BC" w:rsidRPr="00615859">
        <w:rPr>
          <w:rFonts w:cs="Times New Roman"/>
          <w:color w:val="000000" w:themeColor="text1"/>
          <w:szCs w:val="24"/>
        </w:rPr>
        <w:t>.</w:t>
      </w:r>
      <w:r w:rsidR="00BD5AC0" w:rsidRPr="00615859">
        <w:rPr>
          <w:rFonts w:cs="Times New Roman"/>
          <w:color w:val="000000" w:themeColor="text1"/>
          <w:szCs w:val="24"/>
        </w:rPr>
        <w:t xml:space="preserve"> </w:t>
      </w:r>
      <w:r w:rsidR="004F5BC5">
        <w:rPr>
          <w:rFonts w:cs="Times New Roman"/>
          <w:color w:val="000000" w:themeColor="text1"/>
          <w:szCs w:val="24"/>
        </w:rPr>
        <w:t>Advanced Placement and dual enrollment programs serve different populations (Clayton, 2021).</w:t>
      </w:r>
    </w:p>
    <w:p w14:paraId="2E9464CC" w14:textId="0FC2031A" w:rsidR="00AE4D79" w:rsidRDefault="00615859" w:rsidP="00960998">
      <w:pPr>
        <w:ind w:firstLine="720"/>
        <w:rPr>
          <w:rFonts w:cs="Times New Roman"/>
          <w:color w:val="000000" w:themeColor="text1"/>
          <w:szCs w:val="24"/>
        </w:rPr>
      </w:pPr>
      <w:r>
        <w:rPr>
          <w:rFonts w:cs="Times New Roman"/>
          <w:color w:val="000000" w:themeColor="text1"/>
          <w:szCs w:val="24"/>
        </w:rPr>
        <w:t>A</w:t>
      </w:r>
      <w:r w:rsidR="00EF0452">
        <w:rPr>
          <w:rFonts w:cs="Times New Roman"/>
          <w:color w:val="000000" w:themeColor="text1"/>
          <w:szCs w:val="24"/>
        </w:rPr>
        <w:t xml:space="preserve">t one time </w:t>
      </w:r>
      <w:r>
        <w:rPr>
          <w:rFonts w:cs="Times New Roman"/>
          <w:color w:val="000000" w:themeColor="text1"/>
          <w:szCs w:val="24"/>
        </w:rPr>
        <w:t>these programs were only available to academically advanced students</w:t>
      </w:r>
      <w:r w:rsidR="00EF0452">
        <w:rPr>
          <w:rFonts w:cs="Times New Roman"/>
          <w:color w:val="000000" w:themeColor="text1"/>
          <w:szCs w:val="24"/>
        </w:rPr>
        <w:t>.</w:t>
      </w:r>
      <w:r>
        <w:rPr>
          <w:rFonts w:cs="Times New Roman"/>
          <w:color w:val="000000" w:themeColor="text1"/>
          <w:szCs w:val="24"/>
        </w:rPr>
        <w:t xml:space="preserve"> </w:t>
      </w:r>
      <w:r w:rsidR="00EF0452">
        <w:rPr>
          <w:rFonts w:cs="Times New Roman"/>
          <w:color w:val="000000" w:themeColor="text1"/>
          <w:szCs w:val="24"/>
        </w:rPr>
        <w:t>T</w:t>
      </w:r>
      <w:r>
        <w:rPr>
          <w:rFonts w:cs="Times New Roman"/>
          <w:color w:val="000000" w:themeColor="text1"/>
          <w:szCs w:val="24"/>
        </w:rPr>
        <w:t xml:space="preserve">hey now serve a more diverse </w:t>
      </w:r>
      <w:r w:rsidRPr="004F5BC5">
        <w:rPr>
          <w:rFonts w:cs="Times New Roman"/>
          <w:color w:val="000000" w:themeColor="text1"/>
          <w:szCs w:val="24"/>
        </w:rPr>
        <w:t xml:space="preserve">population of students </w:t>
      </w:r>
      <w:r w:rsidR="004F5BC5" w:rsidRPr="004F5BC5">
        <w:rPr>
          <w:rFonts w:cs="Times New Roman"/>
          <w:color w:val="000000" w:themeColor="text1"/>
          <w:szCs w:val="24"/>
        </w:rPr>
        <w:t>with</w:t>
      </w:r>
      <w:r w:rsidRPr="004F5BC5">
        <w:rPr>
          <w:rFonts w:cs="Times New Roman"/>
          <w:color w:val="000000" w:themeColor="text1"/>
          <w:szCs w:val="24"/>
        </w:rPr>
        <w:t xml:space="preserve"> more access for middle and low-achieving students (Speroni</w:t>
      </w:r>
      <w:r>
        <w:rPr>
          <w:rFonts w:cs="Times New Roman"/>
          <w:color w:val="000000" w:themeColor="text1"/>
          <w:szCs w:val="24"/>
        </w:rPr>
        <w:t xml:space="preserve">, 2011). </w:t>
      </w:r>
      <w:r w:rsidR="006F2E90">
        <w:rPr>
          <w:rFonts w:cs="Times New Roman"/>
          <w:color w:val="000000" w:themeColor="text1"/>
          <w:szCs w:val="24"/>
        </w:rPr>
        <w:t xml:space="preserve">While markedly popular, barriers </w:t>
      </w:r>
      <w:r w:rsidR="001E467D">
        <w:rPr>
          <w:rFonts w:cs="Times New Roman"/>
          <w:color w:val="000000" w:themeColor="text1"/>
          <w:szCs w:val="24"/>
        </w:rPr>
        <w:t xml:space="preserve">and racial gaps </w:t>
      </w:r>
      <w:r w:rsidR="006F2E90">
        <w:rPr>
          <w:rFonts w:cs="Times New Roman"/>
          <w:color w:val="000000" w:themeColor="text1"/>
          <w:szCs w:val="24"/>
        </w:rPr>
        <w:t>for both</w:t>
      </w:r>
      <w:r>
        <w:rPr>
          <w:rFonts w:cs="Times New Roman"/>
          <w:color w:val="000000" w:themeColor="text1"/>
          <w:szCs w:val="24"/>
        </w:rPr>
        <w:t xml:space="preserve"> remain</w:t>
      </w:r>
      <w:r w:rsidR="001E467D">
        <w:rPr>
          <w:rFonts w:cs="Times New Roman"/>
          <w:color w:val="000000" w:themeColor="text1"/>
          <w:szCs w:val="24"/>
        </w:rPr>
        <w:t xml:space="preserve"> (Xu et al., 2021)</w:t>
      </w:r>
      <w:r w:rsidR="006F2E90">
        <w:rPr>
          <w:rFonts w:cs="Times New Roman"/>
          <w:color w:val="000000" w:themeColor="text1"/>
          <w:szCs w:val="24"/>
        </w:rPr>
        <w:t xml:space="preserve">. </w:t>
      </w:r>
      <w:r w:rsidR="00674712">
        <w:rPr>
          <w:rFonts w:cs="Times New Roman"/>
          <w:color w:val="000000" w:themeColor="text1"/>
          <w:szCs w:val="24"/>
        </w:rPr>
        <w:t>Xu et al., (2021) reported notable geographic disparities between the rates of Advanced Placement and dual enrollment engagement</w:t>
      </w:r>
      <w:r w:rsidR="00EF0452">
        <w:rPr>
          <w:rFonts w:cs="Times New Roman"/>
          <w:color w:val="000000" w:themeColor="text1"/>
          <w:szCs w:val="24"/>
        </w:rPr>
        <w:t>.</w:t>
      </w:r>
      <w:r w:rsidR="00674712">
        <w:rPr>
          <w:rFonts w:cs="Times New Roman"/>
          <w:color w:val="000000" w:themeColor="text1"/>
          <w:szCs w:val="24"/>
        </w:rPr>
        <w:t xml:space="preserve"> Advanced Placement participation seems to be overrepresented in more metropolitan and coastal areas, whereas dual enrollment participation is centered in the middle of the nation</w:t>
      </w:r>
      <w:r w:rsidR="00EF0452">
        <w:rPr>
          <w:rFonts w:cs="Times New Roman"/>
          <w:color w:val="000000" w:themeColor="text1"/>
          <w:szCs w:val="24"/>
        </w:rPr>
        <w:t xml:space="preserve"> (Xu et al., 2021)</w:t>
      </w:r>
      <w:r w:rsidR="00674712">
        <w:rPr>
          <w:rFonts w:cs="Times New Roman"/>
          <w:color w:val="000000" w:themeColor="text1"/>
          <w:szCs w:val="24"/>
        </w:rPr>
        <w:t xml:space="preserve">. </w:t>
      </w:r>
    </w:p>
    <w:p w14:paraId="18AB448A" w14:textId="5C0E6062" w:rsidR="00EF563B" w:rsidRPr="00960998" w:rsidRDefault="00D97962" w:rsidP="00960998">
      <w:pPr>
        <w:ind w:firstLine="720"/>
        <w:rPr>
          <w:rFonts w:cs="Times New Roman"/>
          <w:color w:val="000000" w:themeColor="text1"/>
          <w:szCs w:val="24"/>
        </w:rPr>
      </w:pPr>
      <w:r w:rsidRPr="00634165">
        <w:rPr>
          <w:rFonts w:cs="Times New Roman"/>
          <w:color w:val="000000" w:themeColor="text1"/>
          <w:szCs w:val="24"/>
        </w:rPr>
        <w:t>To achieve the increase in educational attainment, educational institutions can no longer focus solely on the historically prepared, college-ready student</w:t>
      </w:r>
      <w:r w:rsidR="00CE4A33" w:rsidRPr="00634165">
        <w:rPr>
          <w:rFonts w:cs="Times New Roman"/>
          <w:color w:val="000000" w:themeColor="text1"/>
          <w:szCs w:val="24"/>
        </w:rPr>
        <w:t>s</w:t>
      </w:r>
      <w:r w:rsidRPr="00634165">
        <w:rPr>
          <w:rFonts w:cs="Times New Roman"/>
          <w:color w:val="000000" w:themeColor="text1"/>
          <w:szCs w:val="24"/>
        </w:rPr>
        <w:t>.</w:t>
      </w:r>
      <w:r w:rsidRPr="00D97962">
        <w:rPr>
          <w:rFonts w:cs="Times New Roman"/>
          <w:color w:val="000000" w:themeColor="text1"/>
          <w:szCs w:val="24"/>
        </w:rPr>
        <w:t xml:space="preserve"> Instead, “community colleges and secondary schools must move past their focus on high-achieving high school students and implement programs and services to help prepare underserved student populations” (Jones, 2017, p. 80). Because of their </w:t>
      </w:r>
      <w:r w:rsidRPr="00634165">
        <w:rPr>
          <w:rFonts w:cs="Times New Roman"/>
          <w:color w:val="000000" w:themeColor="text1"/>
          <w:szCs w:val="24"/>
        </w:rPr>
        <w:t>initial purpose to create an open-access educational system, community colleges</w:t>
      </w:r>
      <w:r w:rsidR="004A12CC" w:rsidRPr="00634165">
        <w:rPr>
          <w:rFonts w:cs="Times New Roman"/>
          <w:color w:val="000000" w:themeColor="text1"/>
          <w:szCs w:val="24"/>
        </w:rPr>
        <w:t xml:space="preserve"> may</w:t>
      </w:r>
      <w:r w:rsidRPr="00634165">
        <w:rPr>
          <w:rFonts w:cs="Times New Roman"/>
          <w:color w:val="000000" w:themeColor="text1"/>
          <w:szCs w:val="24"/>
        </w:rPr>
        <w:t xml:space="preserve"> provide underrepresented students with experiences in the college classroom without the financial implications of private schools and universities</w:t>
      </w:r>
      <w:r w:rsidR="004A12CC" w:rsidRPr="00634165">
        <w:rPr>
          <w:rFonts w:cs="Times New Roman"/>
          <w:color w:val="000000" w:themeColor="text1"/>
          <w:szCs w:val="24"/>
        </w:rPr>
        <w:t xml:space="preserve"> (Kisker, 20</w:t>
      </w:r>
      <w:r w:rsidR="00634165" w:rsidRPr="00634165">
        <w:rPr>
          <w:rFonts w:cs="Times New Roman"/>
          <w:color w:val="000000" w:themeColor="text1"/>
          <w:szCs w:val="24"/>
        </w:rPr>
        <w:t>23</w:t>
      </w:r>
      <w:r w:rsidR="004A12CC" w:rsidRPr="00634165">
        <w:rPr>
          <w:rFonts w:cs="Times New Roman"/>
          <w:color w:val="000000" w:themeColor="text1"/>
          <w:szCs w:val="24"/>
        </w:rPr>
        <w:t>)</w:t>
      </w:r>
      <w:r w:rsidRPr="00634165">
        <w:rPr>
          <w:rFonts w:cs="Times New Roman"/>
          <w:color w:val="000000" w:themeColor="text1"/>
          <w:szCs w:val="24"/>
        </w:rPr>
        <w:t>.</w:t>
      </w:r>
      <w:r w:rsidRPr="00D97962">
        <w:rPr>
          <w:rFonts w:cs="Times New Roman"/>
          <w:color w:val="000000" w:themeColor="text1"/>
          <w:szCs w:val="24"/>
        </w:rPr>
        <w:t xml:space="preserve"> </w:t>
      </w:r>
      <w:r w:rsidR="004A12CC">
        <w:rPr>
          <w:rFonts w:cs="Times New Roman"/>
          <w:color w:val="000000" w:themeColor="text1"/>
          <w:szCs w:val="24"/>
        </w:rPr>
        <w:t xml:space="preserve">“Students underprepared for college-level work must be provided with a pathway to collegiate study” </w:t>
      </w:r>
      <w:r w:rsidR="004A12CC" w:rsidRPr="00634165">
        <w:rPr>
          <w:rFonts w:cs="Times New Roman"/>
          <w:color w:val="000000" w:themeColor="text1"/>
          <w:szCs w:val="24"/>
        </w:rPr>
        <w:t xml:space="preserve">(Kisker, </w:t>
      </w:r>
      <w:r w:rsidR="00634165" w:rsidRPr="00634165">
        <w:rPr>
          <w:rFonts w:cs="Times New Roman"/>
          <w:color w:val="000000" w:themeColor="text1"/>
          <w:szCs w:val="24"/>
        </w:rPr>
        <w:t>2023, p. 37</w:t>
      </w:r>
      <w:r w:rsidR="004A12CC" w:rsidRPr="00634165">
        <w:rPr>
          <w:rFonts w:cs="Times New Roman"/>
          <w:color w:val="000000" w:themeColor="text1"/>
          <w:szCs w:val="24"/>
        </w:rPr>
        <w:t>).</w:t>
      </w:r>
      <w:r w:rsidR="004A12CC">
        <w:rPr>
          <w:rFonts w:cs="Times New Roman"/>
          <w:color w:val="000000" w:themeColor="text1"/>
          <w:szCs w:val="24"/>
        </w:rPr>
        <w:t xml:space="preserve"> This is a shift to a “student-ready” culture to educate and support people, “regardless of the assets and advantages they bring or the challenges and barriers they face” </w:t>
      </w:r>
      <w:r w:rsidR="004A12CC" w:rsidRPr="00634165">
        <w:rPr>
          <w:rFonts w:cs="Times New Roman"/>
          <w:color w:val="000000" w:themeColor="text1"/>
          <w:szCs w:val="24"/>
        </w:rPr>
        <w:t>(Kisker, 20</w:t>
      </w:r>
      <w:r w:rsidR="00634165" w:rsidRPr="00634165">
        <w:rPr>
          <w:rFonts w:cs="Times New Roman"/>
          <w:color w:val="000000" w:themeColor="text1"/>
          <w:szCs w:val="24"/>
        </w:rPr>
        <w:t>23, p. 37</w:t>
      </w:r>
      <w:r w:rsidR="004A12CC" w:rsidRPr="00634165">
        <w:rPr>
          <w:rFonts w:cs="Times New Roman"/>
          <w:color w:val="000000" w:themeColor="text1"/>
          <w:szCs w:val="24"/>
        </w:rPr>
        <w:t xml:space="preserve">). </w:t>
      </w:r>
      <w:r w:rsidRPr="00634165">
        <w:rPr>
          <w:rFonts w:cs="Times New Roman"/>
          <w:color w:val="000000" w:themeColor="text1"/>
          <w:szCs w:val="24"/>
        </w:rPr>
        <w:t>Jones</w:t>
      </w:r>
      <w:r w:rsidRPr="00D97962">
        <w:rPr>
          <w:rFonts w:cs="Times New Roman"/>
          <w:color w:val="000000" w:themeColor="text1"/>
          <w:szCs w:val="24"/>
        </w:rPr>
        <w:t xml:space="preserve"> stated, “those who are proponents of community colleges identify them as the institutions that are the most nimble, dynamic, and responsive to change and can meet training and workforce challenges much quicker than their 4-year counterparts” (Jones, 2017, p. 75). </w:t>
      </w:r>
      <w:r w:rsidRPr="004A12CC">
        <w:rPr>
          <w:rFonts w:cs="Times New Roman"/>
          <w:color w:val="000000" w:themeColor="text1"/>
          <w:szCs w:val="24"/>
        </w:rPr>
        <w:t xml:space="preserve">The unique focus of the community college creates an opportunity to be responsive </w:t>
      </w:r>
      <w:r w:rsidRPr="004A12CC">
        <w:rPr>
          <w:rFonts w:cs="Times New Roman"/>
          <w:color w:val="000000" w:themeColor="text1"/>
          <w:szCs w:val="24"/>
        </w:rPr>
        <w:lastRenderedPageBreak/>
        <w:t>to the needs of the community and a population of students who may have been previously overlooked</w:t>
      </w:r>
      <w:r w:rsidR="00573FBA" w:rsidRPr="004A12CC">
        <w:rPr>
          <w:rFonts w:cs="Times New Roman"/>
          <w:color w:val="000000" w:themeColor="text1"/>
          <w:szCs w:val="24"/>
        </w:rPr>
        <w:t xml:space="preserve">. </w:t>
      </w:r>
    </w:p>
    <w:p w14:paraId="5F583F97" w14:textId="77777777" w:rsidR="00291504" w:rsidRPr="00E3743C" w:rsidRDefault="00291504" w:rsidP="00E3743C">
      <w:pPr>
        <w:pStyle w:val="Heading3"/>
      </w:pPr>
      <w:bookmarkStart w:id="41" w:name="_Hlk207369168"/>
      <w:bookmarkStart w:id="42" w:name="_Toc224458895"/>
      <w:r w:rsidRPr="00291504">
        <w:rPr>
          <w:rFonts w:cs="Times New Roman"/>
          <w:color w:val="000000" w:themeColor="text1"/>
        </w:rPr>
        <w:t>Dual Enrollment</w:t>
      </w:r>
      <w:bookmarkEnd w:id="42"/>
    </w:p>
    <w:bookmarkEnd w:id="41"/>
    <w:p w14:paraId="264D8F5C" w14:textId="0DFB2578" w:rsidR="005A365C" w:rsidRPr="005A365C" w:rsidRDefault="005A365C" w:rsidP="005A365C">
      <w:pPr>
        <w:ind w:firstLine="720"/>
        <w:rPr>
          <w:rFonts w:cs="Times New Roman"/>
          <w:color w:val="000000" w:themeColor="text1"/>
          <w:szCs w:val="24"/>
        </w:rPr>
      </w:pPr>
      <w:r w:rsidRPr="005A365C">
        <w:rPr>
          <w:rFonts w:cs="Times New Roman"/>
          <w:color w:val="000000" w:themeColor="text1"/>
          <w:szCs w:val="24"/>
        </w:rPr>
        <w:t>Dual enrollment, a program</w:t>
      </w:r>
      <w:r w:rsidR="003321AD">
        <w:rPr>
          <w:rFonts w:cs="Times New Roman"/>
          <w:color w:val="000000" w:themeColor="text1"/>
          <w:szCs w:val="24"/>
        </w:rPr>
        <w:t xml:space="preserve"> mainly for high school juniors and seniors</w:t>
      </w:r>
      <w:r w:rsidRPr="005A365C">
        <w:rPr>
          <w:rFonts w:cs="Times New Roman"/>
          <w:color w:val="000000" w:themeColor="text1"/>
          <w:szCs w:val="24"/>
        </w:rPr>
        <w:t xml:space="preserve"> that enables students to enroll in postsecondary courses to receive college credit while still in high school, has been shown to benefit students (An &amp; Taylor</w:t>
      </w:r>
      <w:r w:rsidR="00AE33F4">
        <w:rPr>
          <w:rFonts w:cs="Times New Roman"/>
          <w:color w:val="000000" w:themeColor="text1"/>
          <w:szCs w:val="24"/>
        </w:rPr>
        <w:t>, 2019</w:t>
      </w:r>
      <w:r w:rsidRPr="005A365C">
        <w:rPr>
          <w:rFonts w:cs="Times New Roman"/>
          <w:color w:val="000000" w:themeColor="text1"/>
          <w:szCs w:val="24"/>
        </w:rPr>
        <w:t>; Grub et al.</w:t>
      </w:r>
      <w:r w:rsidR="00AE33F4">
        <w:rPr>
          <w:rFonts w:cs="Times New Roman"/>
          <w:color w:val="000000" w:themeColor="text1"/>
          <w:szCs w:val="24"/>
        </w:rPr>
        <w:t>, 2017</w:t>
      </w:r>
      <w:r w:rsidRPr="005A365C">
        <w:rPr>
          <w:rFonts w:cs="Times New Roman"/>
          <w:color w:val="000000" w:themeColor="text1"/>
          <w:szCs w:val="24"/>
        </w:rPr>
        <w:t>; Jones, 201</w:t>
      </w:r>
      <w:r w:rsidR="00BD3845">
        <w:rPr>
          <w:rFonts w:cs="Times New Roman"/>
          <w:color w:val="000000" w:themeColor="text1"/>
          <w:szCs w:val="24"/>
        </w:rPr>
        <w:t>4</w:t>
      </w:r>
      <w:r w:rsidRPr="005A365C">
        <w:rPr>
          <w:rFonts w:cs="Times New Roman"/>
          <w:color w:val="000000" w:themeColor="text1"/>
          <w:szCs w:val="24"/>
        </w:rPr>
        <w:t>; Kanny, 2015; Karp &amp; Hughes, 2008). Traditionally, dual enrollment was geared toward high-achieving students who seemed to be “college-ready”</w:t>
      </w:r>
      <w:r w:rsidR="0097662A">
        <w:rPr>
          <w:rFonts w:cs="Times New Roman"/>
          <w:color w:val="000000" w:themeColor="text1"/>
          <w:szCs w:val="24"/>
        </w:rPr>
        <w:t>.</w:t>
      </w:r>
      <w:r w:rsidRPr="005A365C">
        <w:rPr>
          <w:rFonts w:cs="Times New Roman"/>
          <w:color w:val="000000" w:themeColor="text1"/>
          <w:szCs w:val="24"/>
        </w:rPr>
        <w:t xml:space="preserve"> However, </w:t>
      </w:r>
      <w:r w:rsidRPr="00F879F1">
        <w:rPr>
          <w:rFonts w:cs="Times New Roman"/>
          <w:color w:val="000000" w:themeColor="text1"/>
          <w:szCs w:val="24"/>
        </w:rPr>
        <w:t>Karp (2012) pointed toward research that even academically proficient students struggled to persist in college, which was an indicator that college readiness involves more than just academic skill. These early program initiatives offered to students historically demonstrate implementation at the local level, especially by community colleges (Kim et al., 2006).</w:t>
      </w:r>
    </w:p>
    <w:p w14:paraId="08817299" w14:textId="4D656D58" w:rsidR="005A365C" w:rsidRPr="005A365C" w:rsidRDefault="005A365C" w:rsidP="005A365C">
      <w:pPr>
        <w:ind w:firstLine="720"/>
        <w:rPr>
          <w:rFonts w:cs="Times New Roman"/>
          <w:color w:val="000000" w:themeColor="text1"/>
          <w:szCs w:val="24"/>
        </w:rPr>
      </w:pPr>
      <w:r w:rsidRPr="005A365C">
        <w:rPr>
          <w:rFonts w:cs="Times New Roman"/>
          <w:color w:val="000000" w:themeColor="text1"/>
          <w:szCs w:val="24"/>
        </w:rPr>
        <w:t xml:space="preserve">Dual enrollment is one </w:t>
      </w:r>
      <w:r w:rsidR="0097662A">
        <w:rPr>
          <w:rFonts w:cs="Times New Roman"/>
          <w:color w:val="000000" w:themeColor="text1"/>
          <w:szCs w:val="24"/>
        </w:rPr>
        <w:t>e</w:t>
      </w:r>
      <w:r w:rsidRPr="005A365C">
        <w:rPr>
          <w:rFonts w:cs="Times New Roman"/>
          <w:color w:val="000000" w:themeColor="text1"/>
          <w:szCs w:val="24"/>
        </w:rPr>
        <w:t xml:space="preserve">arly </w:t>
      </w:r>
      <w:r w:rsidR="0097662A">
        <w:rPr>
          <w:rFonts w:cs="Times New Roman"/>
          <w:color w:val="000000" w:themeColor="text1"/>
          <w:szCs w:val="24"/>
        </w:rPr>
        <w:t>p</w:t>
      </w:r>
      <w:r w:rsidRPr="005A365C">
        <w:rPr>
          <w:rFonts w:cs="Times New Roman"/>
          <w:color w:val="000000" w:themeColor="text1"/>
          <w:szCs w:val="24"/>
        </w:rPr>
        <w:t xml:space="preserve">ostsecondary </w:t>
      </w:r>
      <w:r w:rsidR="0097662A">
        <w:rPr>
          <w:rFonts w:cs="Times New Roman"/>
          <w:color w:val="000000" w:themeColor="text1"/>
          <w:szCs w:val="24"/>
        </w:rPr>
        <w:t>o</w:t>
      </w:r>
      <w:r w:rsidRPr="005A365C">
        <w:rPr>
          <w:rFonts w:cs="Times New Roman"/>
          <w:color w:val="000000" w:themeColor="text1"/>
          <w:szCs w:val="24"/>
        </w:rPr>
        <w:t>pportunities (EPSOs) that can provide many benefits to a student toward postsecondary education such as to earn college credit while still in high school, experience the rigor and expectations of postsecondary education, increase confidence and skills needed for postsecondary education, help make informed decisions related to postsecondary and career choices, and reduce costs and time to completion of a postsecondary degree or certificate (TD</w:t>
      </w:r>
      <w:r w:rsidR="005D2F73">
        <w:rPr>
          <w:rFonts w:cs="Times New Roman"/>
          <w:color w:val="000000" w:themeColor="text1"/>
          <w:szCs w:val="24"/>
        </w:rPr>
        <w:t>OE</w:t>
      </w:r>
      <w:r w:rsidRPr="005A365C">
        <w:rPr>
          <w:rFonts w:cs="Times New Roman"/>
          <w:color w:val="000000" w:themeColor="text1"/>
          <w:szCs w:val="24"/>
        </w:rPr>
        <w:t>, n.d.</w:t>
      </w:r>
      <w:r w:rsidR="00E80670">
        <w:rPr>
          <w:rFonts w:cs="Times New Roman"/>
          <w:color w:val="000000" w:themeColor="text1"/>
          <w:szCs w:val="24"/>
        </w:rPr>
        <w:t>-b</w:t>
      </w:r>
      <w:r w:rsidRPr="005A365C">
        <w:rPr>
          <w:rFonts w:cs="Times New Roman"/>
          <w:color w:val="000000" w:themeColor="text1"/>
          <w:szCs w:val="24"/>
        </w:rPr>
        <w:t>).</w:t>
      </w:r>
    </w:p>
    <w:p w14:paraId="69161792" w14:textId="4A9EE41E" w:rsidR="005A365C" w:rsidRPr="005A365C" w:rsidRDefault="005A365C" w:rsidP="005A365C">
      <w:pPr>
        <w:ind w:firstLine="720"/>
        <w:rPr>
          <w:rFonts w:cs="Times New Roman"/>
          <w:color w:val="000000" w:themeColor="text1"/>
          <w:szCs w:val="24"/>
        </w:rPr>
      </w:pPr>
      <w:r w:rsidRPr="005A365C">
        <w:rPr>
          <w:rFonts w:cs="Times New Roman"/>
          <w:color w:val="000000" w:themeColor="text1"/>
          <w:szCs w:val="24"/>
        </w:rPr>
        <w:t xml:space="preserve">There are many steps for a student along the pathway to college completion. Karp (2015) addresses the “leaky pipeline” and how students “leak out” at key transition points from high school until postsecondary degree completion. Dual enrollment is a powerful college completion strategy that facilitates restructuring between secondary and postsecondary institutions, encourages collaboration, and effectively reduces “leaks” in the pipeline of key transition points </w:t>
      </w:r>
      <w:r w:rsidRPr="005A365C">
        <w:rPr>
          <w:rFonts w:cs="Times New Roman"/>
          <w:color w:val="000000" w:themeColor="text1"/>
          <w:szCs w:val="24"/>
        </w:rPr>
        <w:lastRenderedPageBreak/>
        <w:t xml:space="preserve">on a student’s path to degree completion (Karp, 2015). Fink et al. </w:t>
      </w:r>
      <w:r w:rsidR="0097662A">
        <w:rPr>
          <w:rFonts w:cs="Times New Roman"/>
          <w:color w:val="000000" w:themeColor="text1"/>
          <w:szCs w:val="24"/>
        </w:rPr>
        <w:t xml:space="preserve">(2017) </w:t>
      </w:r>
      <w:r w:rsidRPr="005A365C">
        <w:rPr>
          <w:rFonts w:cs="Times New Roman"/>
          <w:color w:val="000000" w:themeColor="text1"/>
          <w:szCs w:val="24"/>
        </w:rPr>
        <w:t>focused their report on students who took dual enrollment courses through community colleges because, nationally, those institutions provide the majority of dual enrollment offerings.</w:t>
      </w:r>
    </w:p>
    <w:p w14:paraId="0F931A87" w14:textId="31F4B8D6" w:rsidR="005A365C" w:rsidRPr="005A365C" w:rsidRDefault="005A365C" w:rsidP="005A365C">
      <w:pPr>
        <w:rPr>
          <w:rFonts w:cs="Times New Roman"/>
          <w:color w:val="000000" w:themeColor="text1"/>
          <w:szCs w:val="24"/>
        </w:rPr>
      </w:pPr>
      <w:r w:rsidRPr="005A365C">
        <w:rPr>
          <w:rFonts w:cs="Times New Roman"/>
          <w:color w:val="000000" w:themeColor="text1"/>
          <w:szCs w:val="24"/>
        </w:rPr>
        <w:tab/>
        <w:t>These programs help to jumpstart students’ education by allowing them to take college courses while still in high school</w:t>
      </w:r>
      <w:r w:rsidR="00E245D8">
        <w:rPr>
          <w:rFonts w:cs="Times New Roman"/>
          <w:color w:val="000000" w:themeColor="text1"/>
          <w:szCs w:val="24"/>
        </w:rPr>
        <w:t xml:space="preserve"> </w:t>
      </w:r>
      <w:r w:rsidR="00E245D8" w:rsidRPr="00B84182">
        <w:rPr>
          <w:rFonts w:cs="Times New Roman"/>
          <w:color w:val="000000" w:themeColor="text1"/>
          <w:szCs w:val="24"/>
        </w:rPr>
        <w:t>(</w:t>
      </w:r>
      <w:r w:rsidR="00D614EA" w:rsidRPr="00B84182">
        <w:rPr>
          <w:rFonts w:cs="Times New Roman"/>
          <w:color w:val="000000" w:themeColor="text1"/>
          <w:szCs w:val="24"/>
        </w:rPr>
        <w:t>CCRC, n.d.</w:t>
      </w:r>
      <w:r w:rsidR="00E245D8" w:rsidRPr="00B84182">
        <w:rPr>
          <w:rFonts w:cs="Times New Roman"/>
          <w:color w:val="000000" w:themeColor="text1"/>
          <w:szCs w:val="24"/>
        </w:rPr>
        <w:t>)</w:t>
      </w:r>
      <w:r w:rsidRPr="00B84182">
        <w:rPr>
          <w:rFonts w:cs="Times New Roman"/>
          <w:color w:val="000000" w:themeColor="text1"/>
          <w:szCs w:val="24"/>
        </w:rPr>
        <w:t>.</w:t>
      </w:r>
      <w:r w:rsidRPr="005A365C">
        <w:rPr>
          <w:rFonts w:cs="Times New Roman"/>
          <w:color w:val="000000" w:themeColor="text1"/>
          <w:szCs w:val="24"/>
        </w:rPr>
        <w:t xml:space="preserve"> </w:t>
      </w:r>
      <w:r w:rsidRPr="008A5650">
        <w:rPr>
          <w:rFonts w:cs="Times New Roman"/>
          <w:color w:val="000000" w:themeColor="text1"/>
          <w:szCs w:val="24"/>
        </w:rPr>
        <w:t>Students participating in dual enrollment have the opportunity to earn college credits, mainly during their junior and senior years of high school</w:t>
      </w:r>
      <w:r w:rsidR="006C26A8" w:rsidRPr="008A5650">
        <w:rPr>
          <w:rFonts w:cs="Times New Roman"/>
          <w:color w:val="000000" w:themeColor="text1"/>
          <w:szCs w:val="24"/>
        </w:rPr>
        <w:t xml:space="preserve"> (College for TN, n.d.)</w:t>
      </w:r>
      <w:r w:rsidRPr="008A5650">
        <w:rPr>
          <w:rFonts w:cs="Times New Roman"/>
          <w:color w:val="000000" w:themeColor="text1"/>
          <w:szCs w:val="24"/>
        </w:rPr>
        <w:t>.</w:t>
      </w:r>
      <w:r w:rsidRPr="005A365C">
        <w:rPr>
          <w:rFonts w:cs="Times New Roman"/>
          <w:color w:val="000000" w:themeColor="text1"/>
          <w:szCs w:val="24"/>
        </w:rPr>
        <w:t xml:space="preserve"> Dual enrollment courses must be taught by postsecondary faculty or credentialed adjunct faculty. They may be offered online, at a partnered high school</w:t>
      </w:r>
      <w:r w:rsidR="0097662A">
        <w:rPr>
          <w:rFonts w:cs="Times New Roman"/>
          <w:color w:val="000000" w:themeColor="text1"/>
          <w:szCs w:val="24"/>
        </w:rPr>
        <w:t xml:space="preserve"> </w:t>
      </w:r>
      <w:r w:rsidRPr="005A365C">
        <w:rPr>
          <w:rFonts w:cs="Times New Roman"/>
          <w:color w:val="000000" w:themeColor="text1"/>
          <w:szCs w:val="24"/>
        </w:rPr>
        <w:t>or at a postsecondary institutio</w:t>
      </w:r>
      <w:r w:rsidRPr="00506264">
        <w:rPr>
          <w:rFonts w:cs="Times New Roman"/>
          <w:color w:val="000000" w:themeColor="text1"/>
          <w:szCs w:val="24"/>
        </w:rPr>
        <w:t>n (T</w:t>
      </w:r>
      <w:r w:rsidR="005D2F73" w:rsidRPr="00506264">
        <w:rPr>
          <w:rFonts w:cs="Times New Roman"/>
          <w:color w:val="000000" w:themeColor="text1"/>
          <w:szCs w:val="24"/>
        </w:rPr>
        <w:t>DOE,</w:t>
      </w:r>
      <w:r w:rsidR="00025E1B" w:rsidRPr="00506264">
        <w:rPr>
          <w:rFonts w:cs="Times New Roman"/>
          <w:color w:val="000000" w:themeColor="text1"/>
          <w:szCs w:val="24"/>
        </w:rPr>
        <w:t xml:space="preserve"> n.d.-b</w:t>
      </w:r>
      <w:r w:rsidRPr="00506264">
        <w:rPr>
          <w:rFonts w:cs="Times New Roman"/>
          <w:color w:val="000000" w:themeColor="text1"/>
          <w:szCs w:val="24"/>
        </w:rPr>
        <w:t>).</w:t>
      </w:r>
    </w:p>
    <w:p w14:paraId="6A245751" w14:textId="330DA33A" w:rsidR="00AC20B7" w:rsidRDefault="005A365C" w:rsidP="005A365C">
      <w:pPr>
        <w:ind w:firstLine="720"/>
        <w:rPr>
          <w:rFonts w:cs="Times New Roman"/>
          <w:color w:val="000000" w:themeColor="text1"/>
          <w:szCs w:val="24"/>
        </w:rPr>
      </w:pPr>
      <w:r w:rsidRPr="005A365C">
        <w:rPr>
          <w:rFonts w:cs="Times New Roman"/>
          <w:color w:val="000000" w:themeColor="text1"/>
          <w:szCs w:val="24"/>
        </w:rPr>
        <w:t xml:space="preserve">Community colleges </w:t>
      </w:r>
      <w:r w:rsidR="00E24A5B">
        <w:rPr>
          <w:rFonts w:cs="Times New Roman"/>
          <w:color w:val="000000" w:themeColor="text1"/>
          <w:szCs w:val="24"/>
        </w:rPr>
        <w:t>account for 39% of all U.S. undergraduate students</w:t>
      </w:r>
      <w:r w:rsidRPr="005A365C">
        <w:rPr>
          <w:rFonts w:cs="Times New Roman"/>
          <w:color w:val="000000" w:themeColor="text1"/>
          <w:szCs w:val="24"/>
        </w:rPr>
        <w:t xml:space="preserve"> </w:t>
      </w:r>
      <w:r w:rsidR="00F9450B">
        <w:rPr>
          <w:rFonts w:cs="Times New Roman"/>
          <w:color w:val="000000" w:themeColor="text1"/>
          <w:szCs w:val="24"/>
        </w:rPr>
        <w:t>(</w:t>
      </w:r>
      <w:r w:rsidR="00B4735F">
        <w:rPr>
          <w:rFonts w:cs="Times New Roman"/>
          <w:color w:val="000000" w:themeColor="text1"/>
          <w:szCs w:val="24"/>
        </w:rPr>
        <w:t>American Association of Community Colleges [</w:t>
      </w:r>
      <w:r w:rsidR="00AE33F4">
        <w:rPr>
          <w:rFonts w:cs="Times New Roman"/>
          <w:color w:val="000000" w:themeColor="text1"/>
          <w:szCs w:val="24"/>
        </w:rPr>
        <w:t>AACC</w:t>
      </w:r>
      <w:r w:rsidR="00B4735F">
        <w:rPr>
          <w:rFonts w:cs="Times New Roman"/>
          <w:color w:val="000000" w:themeColor="text1"/>
          <w:szCs w:val="24"/>
        </w:rPr>
        <w:t>]</w:t>
      </w:r>
      <w:r w:rsidRPr="005A365C">
        <w:rPr>
          <w:rFonts w:cs="Times New Roman"/>
          <w:color w:val="000000" w:themeColor="text1"/>
          <w:szCs w:val="24"/>
        </w:rPr>
        <w:t xml:space="preserve">, 2025). Notably, historically underrepresented students are enrolled at community colleges at significant levels. For example, 32% were first-generation students, 23% </w:t>
      </w:r>
      <w:r w:rsidR="00CE4A33">
        <w:rPr>
          <w:rFonts w:cs="Times New Roman"/>
          <w:color w:val="000000" w:themeColor="text1"/>
          <w:szCs w:val="24"/>
        </w:rPr>
        <w:t xml:space="preserve">of </w:t>
      </w:r>
      <w:r w:rsidRPr="005A365C">
        <w:rPr>
          <w:rFonts w:cs="Times New Roman"/>
          <w:color w:val="000000" w:themeColor="text1"/>
          <w:szCs w:val="24"/>
        </w:rPr>
        <w:t>students had a disability, and 13% were single parents (</w:t>
      </w:r>
      <w:r w:rsidR="00AE33F4">
        <w:rPr>
          <w:rFonts w:cs="Times New Roman"/>
          <w:color w:val="000000" w:themeColor="text1"/>
          <w:szCs w:val="24"/>
        </w:rPr>
        <w:t>AACC</w:t>
      </w:r>
      <w:r w:rsidRPr="005A365C">
        <w:rPr>
          <w:rFonts w:cs="Times New Roman"/>
          <w:color w:val="000000" w:themeColor="text1"/>
          <w:szCs w:val="24"/>
        </w:rPr>
        <w:t>, 2025). During the 2022-23 academic year, high school students accounted for 20.4% of the unduplicated headcount (</w:t>
      </w:r>
      <w:r w:rsidR="00AE33F4">
        <w:rPr>
          <w:rFonts w:cs="Times New Roman"/>
          <w:color w:val="000000" w:themeColor="text1"/>
          <w:szCs w:val="24"/>
        </w:rPr>
        <w:t>AACC</w:t>
      </w:r>
      <w:r w:rsidRPr="005A365C">
        <w:rPr>
          <w:rFonts w:cs="Times New Roman"/>
          <w:color w:val="000000" w:themeColor="text1"/>
          <w:szCs w:val="24"/>
        </w:rPr>
        <w:t xml:space="preserve">, 2025). </w:t>
      </w:r>
      <w:r w:rsidRPr="009F342B">
        <w:rPr>
          <w:rFonts w:cs="Times New Roman"/>
          <w:color w:val="000000" w:themeColor="text1"/>
          <w:szCs w:val="24"/>
        </w:rPr>
        <w:t>For students with barriers to education, community colleges have provided opportunities for degree attainment</w:t>
      </w:r>
      <w:r w:rsidR="00057FA7" w:rsidRPr="009F342B">
        <w:rPr>
          <w:rFonts w:cs="Times New Roman"/>
          <w:color w:val="000000" w:themeColor="text1"/>
          <w:szCs w:val="24"/>
        </w:rPr>
        <w:t xml:space="preserve"> (</w:t>
      </w:r>
      <w:r w:rsidR="00F14659">
        <w:rPr>
          <w:rFonts w:cs="Times New Roman"/>
          <w:color w:val="000000" w:themeColor="text1"/>
          <w:szCs w:val="24"/>
        </w:rPr>
        <w:t>Bonilla &amp; Minaya</w:t>
      </w:r>
      <w:r w:rsidR="00F14659" w:rsidRPr="00776B06">
        <w:rPr>
          <w:rFonts w:cs="Times New Roman"/>
          <w:color w:val="000000" w:themeColor="text1"/>
          <w:szCs w:val="24"/>
        </w:rPr>
        <w:t>, 2024)</w:t>
      </w:r>
      <w:r w:rsidRPr="00776B06">
        <w:rPr>
          <w:rFonts w:cs="Times New Roman"/>
          <w:color w:val="000000" w:themeColor="text1"/>
          <w:szCs w:val="24"/>
        </w:rPr>
        <w:t>.</w:t>
      </w:r>
      <w:r w:rsidRPr="00057FA7">
        <w:rPr>
          <w:rFonts w:cs="Times New Roman"/>
          <w:color w:val="000000" w:themeColor="text1"/>
          <w:szCs w:val="24"/>
        </w:rPr>
        <w:t xml:space="preserve"> </w:t>
      </w:r>
      <w:r w:rsidR="0022626D">
        <w:rPr>
          <w:rFonts w:cs="Times New Roman"/>
          <w:color w:val="000000" w:themeColor="text1"/>
          <w:szCs w:val="24"/>
        </w:rPr>
        <w:t>Cho</w:t>
      </w:r>
      <w:r w:rsidR="00AE61BA">
        <w:rPr>
          <w:rFonts w:cs="Times New Roman"/>
          <w:color w:val="000000" w:themeColor="text1"/>
          <w:szCs w:val="24"/>
        </w:rPr>
        <w:t xml:space="preserve"> &amp; Karp</w:t>
      </w:r>
      <w:r w:rsidR="0022626D">
        <w:rPr>
          <w:rFonts w:cs="Times New Roman"/>
          <w:color w:val="000000" w:themeColor="text1"/>
          <w:szCs w:val="24"/>
        </w:rPr>
        <w:t xml:space="preserve"> (2013) noted that academic preparation is one degree completion barrier </w:t>
      </w:r>
      <w:r w:rsidR="00CE4A33">
        <w:rPr>
          <w:rFonts w:cs="Times New Roman"/>
          <w:color w:val="000000" w:themeColor="text1"/>
          <w:szCs w:val="24"/>
        </w:rPr>
        <w:t>for</w:t>
      </w:r>
      <w:r w:rsidR="0022626D">
        <w:rPr>
          <w:rFonts w:cs="Times New Roman"/>
          <w:color w:val="000000" w:themeColor="text1"/>
          <w:szCs w:val="24"/>
        </w:rPr>
        <w:t xml:space="preserve"> community college students as entering students are more likely to require at least one developmental </w:t>
      </w:r>
      <w:r w:rsidR="0022626D" w:rsidRPr="0096065E">
        <w:rPr>
          <w:rFonts w:cs="Times New Roman"/>
          <w:color w:val="000000" w:themeColor="text1"/>
          <w:szCs w:val="24"/>
        </w:rPr>
        <w:t xml:space="preserve">course. </w:t>
      </w:r>
      <w:r w:rsidR="0096065E">
        <w:rPr>
          <w:rFonts w:cs="Times New Roman"/>
          <w:color w:val="000000" w:themeColor="text1"/>
          <w:szCs w:val="24"/>
        </w:rPr>
        <w:t>Research shows</w:t>
      </w:r>
      <w:r w:rsidR="0096065E" w:rsidRPr="00734B0B">
        <w:rPr>
          <w:rFonts w:cs="Times New Roman"/>
          <w:color w:val="000000" w:themeColor="text1"/>
          <w:szCs w:val="24"/>
        </w:rPr>
        <w:t xml:space="preserve"> that dual enrollment at the community college level often reduces the need for remedial coursework, subsequently supporting higher rates of timely degree completion</w:t>
      </w:r>
      <w:r w:rsidR="0096065E">
        <w:rPr>
          <w:rFonts w:cs="Times New Roman"/>
          <w:color w:val="000000" w:themeColor="text1"/>
          <w:szCs w:val="24"/>
        </w:rPr>
        <w:t xml:space="preserve"> </w:t>
      </w:r>
      <w:r w:rsidR="00482770">
        <w:rPr>
          <w:rFonts w:cs="Times New Roman"/>
          <w:color w:val="000000" w:themeColor="text1"/>
          <w:szCs w:val="24"/>
        </w:rPr>
        <w:t>(</w:t>
      </w:r>
      <w:r w:rsidR="0096065E">
        <w:rPr>
          <w:rFonts w:cs="Times New Roman"/>
          <w:color w:val="000000" w:themeColor="text1"/>
          <w:szCs w:val="24"/>
        </w:rPr>
        <w:t>Grub et al., 2017)</w:t>
      </w:r>
      <w:r w:rsidR="0096065E" w:rsidRPr="00734B0B">
        <w:rPr>
          <w:rFonts w:cs="Times New Roman"/>
          <w:color w:val="000000" w:themeColor="text1"/>
          <w:szCs w:val="24"/>
        </w:rPr>
        <w:t>.</w:t>
      </w:r>
      <w:r w:rsidR="0096065E">
        <w:rPr>
          <w:rFonts w:cs="Times New Roman"/>
          <w:color w:val="000000" w:themeColor="text1"/>
          <w:szCs w:val="24"/>
        </w:rPr>
        <w:t xml:space="preserve"> </w:t>
      </w:r>
      <w:r w:rsidRPr="0096065E">
        <w:rPr>
          <w:rFonts w:cs="Times New Roman"/>
          <w:color w:val="000000" w:themeColor="text1"/>
          <w:szCs w:val="24"/>
        </w:rPr>
        <w:t>Dual</w:t>
      </w:r>
      <w:r w:rsidRPr="00057FA7">
        <w:rPr>
          <w:rFonts w:cs="Times New Roman"/>
          <w:color w:val="000000" w:themeColor="text1"/>
          <w:szCs w:val="24"/>
        </w:rPr>
        <w:t xml:space="preserve"> enrollment has been established as a key tool in the effort to ease the transition for high school student populations who were once considered underrepresented in colleges</w:t>
      </w:r>
      <w:r w:rsidR="00057FA7" w:rsidRPr="00057FA7">
        <w:rPr>
          <w:rFonts w:cs="Times New Roman"/>
          <w:color w:val="000000" w:themeColor="text1"/>
          <w:szCs w:val="24"/>
        </w:rPr>
        <w:t xml:space="preserve"> </w:t>
      </w:r>
      <w:r w:rsidR="00057FA7" w:rsidRPr="00057FA7">
        <w:rPr>
          <w:rFonts w:eastAsia="Times New Roman" w:cs="Times New Roman"/>
          <w:color w:val="000000" w:themeColor="text1"/>
          <w:spacing w:val="3"/>
          <w:szCs w:val="24"/>
        </w:rPr>
        <w:t>(Ganga, 2024)</w:t>
      </w:r>
      <w:r w:rsidR="005A308C" w:rsidRPr="00057FA7">
        <w:rPr>
          <w:rFonts w:cs="Times New Roman"/>
          <w:color w:val="000000" w:themeColor="text1"/>
          <w:szCs w:val="24"/>
        </w:rPr>
        <w:t>.</w:t>
      </w:r>
      <w:r w:rsidR="005A308C" w:rsidRPr="00ED15DE">
        <w:rPr>
          <w:rFonts w:cs="Times New Roman"/>
          <w:color w:val="000000" w:themeColor="text1"/>
          <w:szCs w:val="24"/>
        </w:rPr>
        <w:t xml:space="preserve"> </w:t>
      </w:r>
    </w:p>
    <w:p w14:paraId="0F36B604" w14:textId="77777777" w:rsidR="00291504" w:rsidRPr="00E3743C" w:rsidRDefault="00291504" w:rsidP="00E3743C">
      <w:pPr>
        <w:pStyle w:val="Heading3"/>
      </w:pPr>
      <w:bookmarkStart w:id="43" w:name="_Toc224458896"/>
      <w:r w:rsidRPr="00291504">
        <w:rPr>
          <w:rFonts w:cs="Times New Roman"/>
          <w:color w:val="000000" w:themeColor="text1"/>
        </w:rPr>
        <w:lastRenderedPageBreak/>
        <w:t>Benefits of Dual Enrollment</w:t>
      </w:r>
      <w:bookmarkEnd w:id="43"/>
    </w:p>
    <w:p w14:paraId="0E883726" w14:textId="405D1DFE" w:rsidR="00D7515B" w:rsidRDefault="00ED15DE" w:rsidP="00A841F2">
      <w:pPr>
        <w:ind w:firstLine="720"/>
        <w:rPr>
          <w:rFonts w:cs="Times New Roman"/>
          <w:color w:val="000000" w:themeColor="text1"/>
          <w:szCs w:val="24"/>
        </w:rPr>
      </w:pPr>
      <w:r w:rsidRPr="00EE7676">
        <w:rPr>
          <w:rFonts w:cs="Times New Roman"/>
          <w:color w:val="000000" w:themeColor="text1"/>
          <w:szCs w:val="24"/>
        </w:rPr>
        <w:t>The benefits of dual enrollment have been well documented by research</w:t>
      </w:r>
      <w:r w:rsidR="00B40017" w:rsidRPr="00EE7676">
        <w:rPr>
          <w:rFonts w:cs="Times New Roman"/>
          <w:color w:val="000000" w:themeColor="text1"/>
          <w:szCs w:val="24"/>
        </w:rPr>
        <w:t xml:space="preserve"> (</w:t>
      </w:r>
      <w:r w:rsidR="006C5A2A" w:rsidRPr="00EE7676">
        <w:rPr>
          <w:rFonts w:cs="Times New Roman"/>
          <w:color w:val="000000" w:themeColor="text1"/>
          <w:szCs w:val="24"/>
        </w:rPr>
        <w:t>An &amp; Taylor, 2019</w:t>
      </w:r>
      <w:r w:rsidR="006C5A2A">
        <w:rPr>
          <w:rFonts w:cs="Times New Roman"/>
          <w:color w:val="000000" w:themeColor="text1"/>
          <w:szCs w:val="24"/>
        </w:rPr>
        <w:t xml:space="preserve">; </w:t>
      </w:r>
      <w:r w:rsidR="006C5A2A" w:rsidRPr="00EE7676">
        <w:rPr>
          <w:rFonts w:cs="Times New Roman"/>
          <w:color w:val="000000" w:themeColor="text1"/>
          <w:szCs w:val="24"/>
        </w:rPr>
        <w:t>Cassidy et al., 2010</w:t>
      </w:r>
      <w:r w:rsidR="006C5A2A">
        <w:rPr>
          <w:rFonts w:cs="Times New Roman"/>
          <w:color w:val="000000" w:themeColor="text1"/>
          <w:szCs w:val="24"/>
        </w:rPr>
        <w:t xml:space="preserve">; </w:t>
      </w:r>
      <w:r w:rsidR="00B40017" w:rsidRPr="00EE7676">
        <w:rPr>
          <w:rFonts w:cs="Times New Roman"/>
          <w:color w:val="000000" w:themeColor="text1"/>
          <w:szCs w:val="24"/>
        </w:rPr>
        <w:t>Karp &amp; Hughes, 2008</w:t>
      </w:r>
      <w:r w:rsidR="00EF3C49" w:rsidRPr="00EE7676">
        <w:rPr>
          <w:rFonts w:cs="Times New Roman"/>
          <w:color w:val="000000" w:themeColor="text1"/>
          <w:szCs w:val="24"/>
        </w:rPr>
        <w:t>; Lile, et al., 2018)</w:t>
      </w:r>
      <w:r w:rsidRPr="00EE7676">
        <w:rPr>
          <w:rFonts w:cs="Times New Roman"/>
          <w:color w:val="000000" w:themeColor="text1"/>
          <w:szCs w:val="24"/>
        </w:rPr>
        <w:t xml:space="preserve">. </w:t>
      </w:r>
      <w:r w:rsidR="00B211F0" w:rsidRPr="00EE7676">
        <w:rPr>
          <w:rFonts w:cs="Times New Roman"/>
          <w:color w:val="000000" w:themeColor="text1"/>
          <w:szCs w:val="24"/>
        </w:rPr>
        <w:t>High school</w:t>
      </w:r>
      <w:r w:rsidR="00B211F0">
        <w:rPr>
          <w:rFonts w:cs="Times New Roman"/>
          <w:color w:val="000000" w:themeColor="text1"/>
          <w:szCs w:val="24"/>
        </w:rPr>
        <w:t xml:space="preserve"> dual enrollment students may experience a variety of potential benefits from the program. </w:t>
      </w:r>
      <w:r>
        <w:rPr>
          <w:rFonts w:cs="Times New Roman"/>
          <w:color w:val="000000" w:themeColor="text1"/>
          <w:szCs w:val="24"/>
        </w:rPr>
        <w:t xml:space="preserve">The identified benefits include </w:t>
      </w:r>
      <w:r w:rsidR="00291504" w:rsidRPr="00291504">
        <w:rPr>
          <w:rFonts w:cs="Times New Roman"/>
          <w:color w:val="000000" w:themeColor="text1"/>
          <w:szCs w:val="24"/>
        </w:rPr>
        <w:t>a timelier completion of a degree, reduction of financial burden and student debt, a rigorous academic experience, connection of the high school student to higher education, an opportunity to practice the role of a college student which will help with the transition to college, and reduction in remediation (Fink et al., 2017; Grubb et al., 2017; Karp, 2012; Karp &amp; Hughes, 2008</w:t>
      </w:r>
      <w:r w:rsidR="00D6785A">
        <w:rPr>
          <w:rFonts w:cs="Times New Roman"/>
          <w:color w:val="000000" w:themeColor="text1"/>
          <w:szCs w:val="24"/>
        </w:rPr>
        <w:t>; Young, 202</w:t>
      </w:r>
      <w:r w:rsidR="009A7035">
        <w:rPr>
          <w:rFonts w:cs="Times New Roman"/>
          <w:color w:val="000000" w:themeColor="text1"/>
          <w:szCs w:val="24"/>
        </w:rPr>
        <w:t>1</w:t>
      </w:r>
      <w:r w:rsidR="00291504" w:rsidRPr="00291504">
        <w:rPr>
          <w:rFonts w:cs="Times New Roman"/>
          <w:color w:val="000000" w:themeColor="text1"/>
          <w:szCs w:val="24"/>
        </w:rPr>
        <w:t xml:space="preserve">). </w:t>
      </w:r>
      <w:r w:rsidR="00291504" w:rsidRPr="00F879F1">
        <w:rPr>
          <w:rFonts w:cs="Times New Roman"/>
          <w:color w:val="000000" w:themeColor="text1"/>
          <w:szCs w:val="24"/>
        </w:rPr>
        <w:t xml:space="preserve">Karp and Hughes’ </w:t>
      </w:r>
      <w:r w:rsidR="00DA581B" w:rsidRPr="00F879F1">
        <w:rPr>
          <w:rFonts w:cs="Times New Roman"/>
          <w:color w:val="000000" w:themeColor="text1"/>
          <w:szCs w:val="24"/>
        </w:rPr>
        <w:t xml:space="preserve">(2008) </w:t>
      </w:r>
      <w:r w:rsidR="00291504" w:rsidRPr="00F879F1">
        <w:rPr>
          <w:rFonts w:cs="Times New Roman"/>
          <w:color w:val="000000" w:themeColor="text1"/>
          <w:szCs w:val="24"/>
        </w:rPr>
        <w:t>findings provided a “promising picture” of dual enrollment as an encouraging strategy for student access and persistence in postsecondary education.</w:t>
      </w:r>
      <w:r w:rsidR="00291504" w:rsidRPr="00291504">
        <w:rPr>
          <w:rFonts w:cs="Times New Roman"/>
          <w:color w:val="000000" w:themeColor="text1"/>
          <w:szCs w:val="24"/>
        </w:rPr>
        <w:t xml:space="preserve"> </w:t>
      </w:r>
    </w:p>
    <w:p w14:paraId="287E995B" w14:textId="3BE08488" w:rsidR="006B636C" w:rsidRDefault="00291504" w:rsidP="00CF5B3E">
      <w:pPr>
        <w:ind w:firstLine="720"/>
        <w:rPr>
          <w:rFonts w:cs="Times New Roman"/>
          <w:color w:val="000000" w:themeColor="text1"/>
          <w:szCs w:val="24"/>
        </w:rPr>
      </w:pPr>
      <w:r w:rsidRPr="00BA2055">
        <w:rPr>
          <w:rFonts w:cs="Times New Roman"/>
          <w:color w:val="000000" w:themeColor="text1"/>
          <w:szCs w:val="24"/>
        </w:rPr>
        <w:t>When looking at the participation in du</w:t>
      </w:r>
      <w:r w:rsidR="00CF58B1" w:rsidRPr="00BA2055">
        <w:rPr>
          <w:rFonts w:cs="Times New Roman"/>
          <w:color w:val="000000" w:themeColor="text1"/>
          <w:szCs w:val="24"/>
        </w:rPr>
        <w:t>a</w:t>
      </w:r>
      <w:r w:rsidRPr="00BA2055">
        <w:rPr>
          <w:rFonts w:cs="Times New Roman"/>
          <w:color w:val="000000" w:themeColor="text1"/>
          <w:szCs w:val="24"/>
        </w:rPr>
        <w:t>l enrollment, the primary research agenda among studies that focus on students as the unit of analysis is the influence of dual enrollment on educational outcomes (An &amp; Taylor, 2019).</w:t>
      </w:r>
      <w:r w:rsidR="00ED15DE" w:rsidRPr="00BA2055">
        <w:rPr>
          <w:rFonts w:cs="Times New Roman"/>
          <w:color w:val="000000" w:themeColor="text1"/>
          <w:szCs w:val="24"/>
        </w:rPr>
        <w:t xml:space="preserve"> </w:t>
      </w:r>
      <w:r w:rsidR="0097662A" w:rsidRPr="00BA2055">
        <w:rPr>
          <w:rFonts w:cs="Times New Roman"/>
          <w:color w:val="000000" w:themeColor="text1"/>
          <w:szCs w:val="24"/>
        </w:rPr>
        <w:t>O</w:t>
      </w:r>
      <w:r w:rsidR="00A621E5" w:rsidRPr="00BA2055">
        <w:rPr>
          <w:rFonts w:cs="Times New Roman"/>
          <w:color w:val="000000" w:themeColor="text1"/>
          <w:szCs w:val="24"/>
        </w:rPr>
        <w:t>utcomes such as total earned college credits, early persistence, full-time attendance, and grade point average (GPA), indicate that dual enrollment can help students graduate more quickly (Schaller et</w:t>
      </w:r>
      <w:r w:rsidR="0097662A" w:rsidRPr="00BA2055">
        <w:rPr>
          <w:rFonts w:cs="Times New Roman"/>
          <w:color w:val="000000" w:themeColor="text1"/>
          <w:szCs w:val="24"/>
        </w:rPr>
        <w:t xml:space="preserve"> </w:t>
      </w:r>
      <w:r w:rsidR="00A621E5" w:rsidRPr="00BA2055">
        <w:rPr>
          <w:rFonts w:cs="Times New Roman"/>
          <w:color w:val="000000" w:themeColor="text1"/>
          <w:szCs w:val="24"/>
        </w:rPr>
        <w:t>al., 2025).</w:t>
      </w:r>
      <w:r w:rsidR="0099690D" w:rsidRPr="00BA2055">
        <w:rPr>
          <w:rFonts w:cs="Times New Roman"/>
          <w:color w:val="000000" w:themeColor="text1"/>
          <w:szCs w:val="24"/>
        </w:rPr>
        <w:t xml:space="preserve"> </w:t>
      </w:r>
      <w:r w:rsidR="00784FE3" w:rsidRPr="00BA2055">
        <w:rPr>
          <w:rFonts w:cs="Times New Roman"/>
          <w:color w:val="000000" w:themeColor="text1"/>
          <w:szCs w:val="24"/>
        </w:rPr>
        <w:t xml:space="preserve">Research has shown that college students who took dual enrollment courses showed a range of benefits including improved grade point averages (Schaller et al., 2025), shorter time to completion (Burns et al., 2019; Schaller et al., 2025), and higher completion rates (Burns et al., 2019; Schaller et al., 2025). </w:t>
      </w:r>
      <w:r w:rsidR="0070119C">
        <w:rPr>
          <w:rFonts w:cs="Times New Roman"/>
          <w:color w:val="000000" w:themeColor="text1"/>
          <w:szCs w:val="24"/>
        </w:rPr>
        <w:t xml:space="preserve">Kentucky Council on Postsecondary Education (2020) reported dual enrollment students were more likely to earn a 3.0 or higher GPA in their first year of college (60 percent) compared to their non-dual enrollment peers (50.8 percent). </w:t>
      </w:r>
      <w:r w:rsidR="00E3078D" w:rsidRPr="00BA2055">
        <w:rPr>
          <w:rFonts w:cs="Times New Roman"/>
          <w:color w:val="000000" w:themeColor="text1"/>
          <w:szCs w:val="24"/>
        </w:rPr>
        <w:t xml:space="preserve">Findings imply the possible advantages of dual enrollment participation appear to convert into early academic momentum that support students on their </w:t>
      </w:r>
      <w:r w:rsidR="00E3078D" w:rsidRPr="00BA2055">
        <w:rPr>
          <w:rFonts w:cs="Times New Roman"/>
          <w:color w:val="000000" w:themeColor="text1"/>
          <w:szCs w:val="24"/>
        </w:rPr>
        <w:lastRenderedPageBreak/>
        <w:t>higher education path after they are enrolled in college (Wang et al., 2015).</w:t>
      </w:r>
      <w:r w:rsidR="00E3078D">
        <w:rPr>
          <w:rFonts w:cs="Times New Roman"/>
          <w:color w:val="000000" w:themeColor="text1"/>
          <w:szCs w:val="24"/>
        </w:rPr>
        <w:t xml:space="preserve"> </w:t>
      </w:r>
      <w:r w:rsidR="00CF5B3E">
        <w:rPr>
          <w:rFonts w:cs="Times New Roman"/>
          <w:color w:val="000000" w:themeColor="text1"/>
          <w:szCs w:val="24"/>
        </w:rPr>
        <w:t xml:space="preserve">Data revealed higher </w:t>
      </w:r>
      <w:r w:rsidR="00B06189">
        <w:rPr>
          <w:rFonts w:cs="Times New Roman"/>
          <w:color w:val="000000" w:themeColor="text1"/>
          <w:szCs w:val="24"/>
        </w:rPr>
        <w:t xml:space="preserve">degree </w:t>
      </w:r>
      <w:r w:rsidR="00CF5B3E">
        <w:rPr>
          <w:rFonts w:cs="Times New Roman"/>
          <w:color w:val="000000" w:themeColor="text1"/>
          <w:szCs w:val="24"/>
        </w:rPr>
        <w:t>completion rates for full-time students than their part-time peers (Klempin et al.</w:t>
      </w:r>
      <w:r w:rsidR="00021CCC">
        <w:rPr>
          <w:rFonts w:cs="Times New Roman"/>
          <w:color w:val="000000" w:themeColor="text1"/>
          <w:szCs w:val="24"/>
        </w:rPr>
        <w:t>,</w:t>
      </w:r>
      <w:r w:rsidR="00CF5B3E">
        <w:rPr>
          <w:rFonts w:cs="Times New Roman"/>
          <w:color w:val="000000" w:themeColor="text1"/>
          <w:szCs w:val="24"/>
        </w:rPr>
        <w:t xml:space="preserve"> 2025). </w:t>
      </w:r>
      <w:r w:rsidR="00B55562">
        <w:rPr>
          <w:rFonts w:cs="Times New Roman"/>
          <w:color w:val="000000" w:themeColor="text1"/>
          <w:szCs w:val="24"/>
        </w:rPr>
        <w:t xml:space="preserve">Enrollment intensity is a major factor in time to degree completion (Klempin et al., 2025). Klempin et al. (2025) noted that students are less likely to complete a degree the longer they are enrolled. This can also lead to increased student debt due to reduced financial aid, additional fees, </w:t>
      </w:r>
      <w:r w:rsidR="00B55562" w:rsidRPr="00B06189">
        <w:rPr>
          <w:rFonts w:cs="Times New Roman"/>
          <w:color w:val="000000" w:themeColor="text1"/>
          <w:szCs w:val="24"/>
        </w:rPr>
        <w:t>and lost wages (Klempin et al., 2025).</w:t>
      </w:r>
      <w:r w:rsidR="00B55562">
        <w:rPr>
          <w:rFonts w:cs="Times New Roman"/>
          <w:color w:val="000000" w:themeColor="text1"/>
          <w:szCs w:val="24"/>
        </w:rPr>
        <w:t xml:space="preserve"> </w:t>
      </w:r>
    </w:p>
    <w:p w14:paraId="7F81052F" w14:textId="77777777" w:rsidR="002E49CF" w:rsidRDefault="00707F74" w:rsidP="007A076B">
      <w:pPr>
        <w:ind w:firstLine="720"/>
        <w:rPr>
          <w:rFonts w:cs="Times New Roman"/>
          <w:color w:val="000000" w:themeColor="text1"/>
          <w:szCs w:val="24"/>
        </w:rPr>
      </w:pPr>
      <w:r w:rsidRPr="00BA2055">
        <w:rPr>
          <w:rFonts w:cs="Times New Roman"/>
          <w:color w:val="000000" w:themeColor="text1"/>
          <w:szCs w:val="24"/>
        </w:rPr>
        <w:t xml:space="preserve">Dual enrollment has shown </w:t>
      </w:r>
      <w:r w:rsidR="00BD1110" w:rsidRPr="00BA2055">
        <w:rPr>
          <w:rFonts w:cs="Times New Roman"/>
          <w:color w:val="000000" w:themeColor="text1"/>
          <w:szCs w:val="24"/>
        </w:rPr>
        <w:t>to improve</w:t>
      </w:r>
      <w:r w:rsidR="00152898" w:rsidRPr="00BA2055">
        <w:rPr>
          <w:rFonts w:cs="Times New Roman"/>
          <w:color w:val="000000" w:themeColor="text1"/>
          <w:szCs w:val="24"/>
        </w:rPr>
        <w:t xml:space="preserve"> </w:t>
      </w:r>
      <w:r w:rsidRPr="00BA2055">
        <w:rPr>
          <w:rFonts w:cs="Times New Roman"/>
          <w:color w:val="000000" w:themeColor="text1"/>
          <w:szCs w:val="24"/>
        </w:rPr>
        <w:t>student success</w:t>
      </w:r>
      <w:r w:rsidR="00152898" w:rsidRPr="00BA2055">
        <w:rPr>
          <w:rFonts w:cs="Times New Roman"/>
          <w:color w:val="000000" w:themeColor="text1"/>
          <w:szCs w:val="24"/>
        </w:rPr>
        <w:t>,</w:t>
      </w:r>
      <w:r w:rsidR="00BD1110" w:rsidRPr="00BA2055">
        <w:rPr>
          <w:rFonts w:cs="Times New Roman"/>
          <w:color w:val="000000" w:themeColor="text1"/>
          <w:szCs w:val="24"/>
        </w:rPr>
        <w:t xml:space="preserve"> increase enrollment at</w:t>
      </w:r>
      <w:r w:rsidRPr="00BA2055">
        <w:rPr>
          <w:rFonts w:cs="Times New Roman"/>
          <w:color w:val="000000" w:themeColor="text1"/>
          <w:szCs w:val="24"/>
        </w:rPr>
        <w:t xml:space="preserve"> postsecondary institutions</w:t>
      </w:r>
      <w:r w:rsidR="008C7BF8" w:rsidRPr="00BA2055">
        <w:rPr>
          <w:rFonts w:cs="Times New Roman"/>
          <w:color w:val="000000" w:themeColor="text1"/>
          <w:szCs w:val="24"/>
        </w:rPr>
        <w:t>,</w:t>
      </w:r>
      <w:r w:rsidR="00BD1110" w:rsidRPr="00BA2055">
        <w:rPr>
          <w:rFonts w:cs="Times New Roman"/>
          <w:color w:val="000000" w:themeColor="text1"/>
          <w:szCs w:val="24"/>
        </w:rPr>
        <w:t xml:space="preserve"> </w:t>
      </w:r>
      <w:r w:rsidR="008C7BF8" w:rsidRPr="00BA2055">
        <w:rPr>
          <w:rFonts w:cs="Times New Roman"/>
          <w:color w:val="000000" w:themeColor="text1"/>
          <w:szCs w:val="24"/>
        </w:rPr>
        <w:t>student persistence</w:t>
      </w:r>
      <w:r w:rsidR="00DC2D36" w:rsidRPr="00BA2055">
        <w:rPr>
          <w:rFonts w:cs="Times New Roman"/>
          <w:color w:val="000000" w:themeColor="text1"/>
          <w:szCs w:val="24"/>
        </w:rPr>
        <w:t>,</w:t>
      </w:r>
      <w:r w:rsidR="008C7BF8" w:rsidRPr="00BA2055">
        <w:rPr>
          <w:rFonts w:cs="Times New Roman"/>
          <w:color w:val="000000" w:themeColor="text1"/>
          <w:szCs w:val="24"/>
        </w:rPr>
        <w:t xml:space="preserve"> and time to completion </w:t>
      </w:r>
      <w:r w:rsidR="00881CAA" w:rsidRPr="00BA2055">
        <w:rPr>
          <w:rFonts w:cs="Times New Roman"/>
          <w:color w:val="000000" w:themeColor="text1"/>
          <w:szCs w:val="24"/>
        </w:rPr>
        <w:t>(Irwin, 2018)</w:t>
      </w:r>
      <w:r w:rsidR="008C7BF8" w:rsidRPr="00BA2055">
        <w:rPr>
          <w:rFonts w:cs="Times New Roman"/>
          <w:color w:val="000000" w:themeColor="text1"/>
          <w:szCs w:val="24"/>
        </w:rPr>
        <w:t xml:space="preserve">. </w:t>
      </w:r>
      <w:r w:rsidR="008C3CD8" w:rsidRPr="00BA2055">
        <w:rPr>
          <w:rFonts w:cs="Times New Roman"/>
          <w:color w:val="000000" w:themeColor="text1"/>
          <w:szCs w:val="24"/>
        </w:rPr>
        <w:t xml:space="preserve">Dual enrollment has been </w:t>
      </w:r>
      <w:r w:rsidR="008C7BF8" w:rsidRPr="00BA2055">
        <w:rPr>
          <w:rFonts w:cs="Times New Roman"/>
          <w:color w:val="000000" w:themeColor="text1"/>
          <w:szCs w:val="24"/>
        </w:rPr>
        <w:t>the</w:t>
      </w:r>
      <w:r w:rsidR="008C3CD8" w:rsidRPr="00BA2055">
        <w:rPr>
          <w:rFonts w:cs="Times New Roman"/>
          <w:color w:val="000000" w:themeColor="text1"/>
          <w:szCs w:val="24"/>
        </w:rPr>
        <w:t xml:space="preserve"> </w:t>
      </w:r>
      <w:r w:rsidR="00890BED" w:rsidRPr="00BA2055">
        <w:rPr>
          <w:rFonts w:cs="Times New Roman"/>
          <w:color w:val="000000" w:themeColor="text1"/>
          <w:szCs w:val="24"/>
        </w:rPr>
        <w:t>fastest-growing</w:t>
      </w:r>
      <w:r w:rsidR="008C3CD8" w:rsidRPr="00BA2055">
        <w:rPr>
          <w:rFonts w:cs="Times New Roman"/>
          <w:color w:val="000000" w:themeColor="text1"/>
          <w:szCs w:val="24"/>
        </w:rPr>
        <w:t xml:space="preserve"> sector of community colleges in Tennessee </w:t>
      </w:r>
      <w:r w:rsidR="00476AE5" w:rsidRPr="00BA2055">
        <w:rPr>
          <w:rFonts w:cs="Times New Roman"/>
          <w:color w:val="000000" w:themeColor="text1"/>
          <w:szCs w:val="24"/>
        </w:rPr>
        <w:t xml:space="preserve">with a 68% increase from fall 2015 to </w:t>
      </w:r>
      <w:r w:rsidR="00525B86">
        <w:rPr>
          <w:rFonts w:cs="Times New Roman"/>
          <w:color w:val="000000" w:themeColor="text1"/>
          <w:szCs w:val="24"/>
        </w:rPr>
        <w:t>f</w:t>
      </w:r>
      <w:r w:rsidR="00476AE5" w:rsidRPr="00BA2055">
        <w:rPr>
          <w:rFonts w:cs="Times New Roman"/>
          <w:color w:val="000000" w:themeColor="text1"/>
          <w:szCs w:val="24"/>
        </w:rPr>
        <w:t>all 2022 across Tennessee’s community and technical colleges</w:t>
      </w:r>
      <w:r w:rsidR="008C3CD8" w:rsidRPr="00BA2055">
        <w:rPr>
          <w:rFonts w:cs="Times New Roman"/>
          <w:color w:val="000000" w:themeColor="text1"/>
          <w:szCs w:val="24"/>
        </w:rPr>
        <w:t xml:space="preserve"> (TBR, </w:t>
      </w:r>
      <w:r w:rsidR="00BC5946" w:rsidRPr="00BA2055">
        <w:rPr>
          <w:rFonts w:cs="Times New Roman"/>
          <w:color w:val="000000" w:themeColor="text1"/>
          <w:szCs w:val="24"/>
        </w:rPr>
        <w:t>2023</w:t>
      </w:r>
      <w:r w:rsidR="008C3CD8" w:rsidRPr="00BA2055">
        <w:rPr>
          <w:rFonts w:cs="Times New Roman"/>
          <w:color w:val="000000" w:themeColor="text1"/>
          <w:szCs w:val="24"/>
        </w:rPr>
        <w:t xml:space="preserve">). </w:t>
      </w:r>
      <w:r w:rsidR="00F771AD" w:rsidRPr="00BA2055">
        <w:rPr>
          <w:rFonts w:cs="Times New Roman"/>
          <w:color w:val="000000" w:themeColor="text1"/>
          <w:szCs w:val="24"/>
        </w:rPr>
        <w:t>Fi</w:t>
      </w:r>
      <w:r w:rsidR="00D51B0E" w:rsidRPr="00BA2055">
        <w:rPr>
          <w:rFonts w:cs="Times New Roman"/>
          <w:color w:val="000000" w:themeColor="text1"/>
          <w:szCs w:val="24"/>
        </w:rPr>
        <w:t>nk</w:t>
      </w:r>
      <w:r w:rsidR="00554E26" w:rsidRPr="00BA2055">
        <w:rPr>
          <w:rFonts w:cs="Times New Roman"/>
          <w:color w:val="000000" w:themeColor="text1"/>
          <w:szCs w:val="24"/>
        </w:rPr>
        <w:t xml:space="preserve"> et al. </w:t>
      </w:r>
      <w:r w:rsidR="00D51B0E" w:rsidRPr="00BA2055">
        <w:rPr>
          <w:rFonts w:cs="Times New Roman"/>
          <w:color w:val="000000" w:themeColor="text1"/>
          <w:szCs w:val="24"/>
        </w:rPr>
        <w:t>(2017) report</w:t>
      </w:r>
      <w:r w:rsidR="00BD1110" w:rsidRPr="00BA2055">
        <w:rPr>
          <w:rFonts w:cs="Times New Roman"/>
          <w:color w:val="000000" w:themeColor="text1"/>
          <w:szCs w:val="24"/>
        </w:rPr>
        <w:t>ed</w:t>
      </w:r>
      <w:r w:rsidR="00D51B0E" w:rsidRPr="00BA2055">
        <w:rPr>
          <w:rFonts w:cs="Times New Roman"/>
          <w:color w:val="000000" w:themeColor="text1"/>
          <w:szCs w:val="24"/>
        </w:rPr>
        <w:t xml:space="preserve"> that the vast majority of dual enrollment students matriculated to college after high school</w:t>
      </w:r>
      <w:r w:rsidR="00E335F9" w:rsidRPr="00BA2055">
        <w:rPr>
          <w:rFonts w:cs="Times New Roman"/>
          <w:color w:val="000000" w:themeColor="text1"/>
          <w:szCs w:val="24"/>
        </w:rPr>
        <w:t>. A</w:t>
      </w:r>
      <w:r w:rsidR="00D51B0E" w:rsidRPr="00BA2055">
        <w:rPr>
          <w:rFonts w:cs="Times New Roman"/>
          <w:color w:val="000000" w:themeColor="text1"/>
          <w:szCs w:val="24"/>
        </w:rPr>
        <w:t>lthough numbers varied by state</w:t>
      </w:r>
      <w:r w:rsidR="00E335F9" w:rsidRPr="00BA2055">
        <w:rPr>
          <w:rFonts w:cs="Times New Roman"/>
          <w:color w:val="000000" w:themeColor="text1"/>
          <w:szCs w:val="24"/>
        </w:rPr>
        <w:t>, 47% of dual enrollment students ages 18-20</w:t>
      </w:r>
      <w:r w:rsidR="00B776F7" w:rsidRPr="00BA2055">
        <w:rPr>
          <w:rFonts w:cs="Times New Roman"/>
          <w:color w:val="000000" w:themeColor="text1"/>
          <w:szCs w:val="24"/>
        </w:rPr>
        <w:t xml:space="preserve"> matriculated to</w:t>
      </w:r>
      <w:r w:rsidR="00BD1110" w:rsidRPr="00BA2055">
        <w:rPr>
          <w:rFonts w:cs="Times New Roman"/>
          <w:color w:val="000000" w:themeColor="text1"/>
          <w:szCs w:val="24"/>
        </w:rPr>
        <w:t xml:space="preserve"> the host</w:t>
      </w:r>
      <w:r w:rsidR="00B776F7" w:rsidRPr="00BA2055">
        <w:rPr>
          <w:rFonts w:cs="Times New Roman"/>
          <w:color w:val="000000" w:themeColor="text1"/>
          <w:szCs w:val="24"/>
        </w:rPr>
        <w:t xml:space="preserve"> community college</w:t>
      </w:r>
      <w:r w:rsidR="00D51B0E" w:rsidRPr="00BA2055">
        <w:rPr>
          <w:rFonts w:cs="Times New Roman"/>
          <w:color w:val="000000" w:themeColor="text1"/>
          <w:szCs w:val="24"/>
        </w:rPr>
        <w:t xml:space="preserve">. </w:t>
      </w:r>
      <w:r w:rsidR="008E0869" w:rsidRPr="00BA2055">
        <w:rPr>
          <w:rFonts w:cs="Times New Roman"/>
          <w:color w:val="000000" w:themeColor="text1"/>
          <w:szCs w:val="24"/>
        </w:rPr>
        <w:t>While</w:t>
      </w:r>
      <w:r w:rsidR="00F771AD" w:rsidRPr="00BA2055">
        <w:rPr>
          <w:rFonts w:cs="Times New Roman"/>
          <w:color w:val="000000" w:themeColor="text1"/>
          <w:szCs w:val="24"/>
        </w:rPr>
        <w:t xml:space="preserve"> variation was seen among states, data show that </w:t>
      </w:r>
      <w:r w:rsidR="00DB0A42" w:rsidRPr="00BA2055">
        <w:rPr>
          <w:rFonts w:cs="Times New Roman"/>
          <w:color w:val="000000" w:themeColor="text1"/>
          <w:szCs w:val="24"/>
        </w:rPr>
        <w:t xml:space="preserve">more than </w:t>
      </w:r>
      <w:r w:rsidR="00E36515" w:rsidRPr="00BA2055">
        <w:rPr>
          <w:rFonts w:cs="Times New Roman"/>
          <w:color w:val="000000" w:themeColor="text1"/>
          <w:szCs w:val="24"/>
        </w:rPr>
        <w:t>one-</w:t>
      </w:r>
      <w:r w:rsidR="00DB0A42" w:rsidRPr="00BA2055">
        <w:rPr>
          <w:rFonts w:cs="Times New Roman"/>
          <w:color w:val="000000" w:themeColor="text1"/>
          <w:szCs w:val="24"/>
        </w:rPr>
        <w:t xml:space="preserve">half </w:t>
      </w:r>
      <w:r w:rsidR="00DB0A42" w:rsidRPr="003B1894">
        <w:rPr>
          <w:rFonts w:cs="Times New Roman"/>
          <w:color w:val="000000" w:themeColor="text1"/>
          <w:szCs w:val="24"/>
        </w:rPr>
        <w:t xml:space="preserve">of </w:t>
      </w:r>
      <w:r w:rsidR="00F771AD" w:rsidRPr="003B1894">
        <w:rPr>
          <w:rFonts w:cs="Times New Roman"/>
          <w:color w:val="000000" w:themeColor="text1"/>
          <w:szCs w:val="24"/>
        </w:rPr>
        <w:t xml:space="preserve">dual enrollment students </w:t>
      </w:r>
      <w:r w:rsidR="00DB0A42" w:rsidRPr="003B1894">
        <w:rPr>
          <w:rFonts w:cs="Times New Roman"/>
          <w:color w:val="000000" w:themeColor="text1"/>
          <w:szCs w:val="24"/>
        </w:rPr>
        <w:t xml:space="preserve">nationally </w:t>
      </w:r>
      <w:r w:rsidR="00F771AD" w:rsidRPr="003B1894">
        <w:rPr>
          <w:rFonts w:cs="Times New Roman"/>
          <w:color w:val="000000" w:themeColor="text1"/>
          <w:szCs w:val="24"/>
        </w:rPr>
        <w:t xml:space="preserve">are matriculating to community colleges </w:t>
      </w:r>
      <w:r w:rsidR="00DB0A42" w:rsidRPr="003B1894">
        <w:rPr>
          <w:rFonts w:cs="Times New Roman"/>
          <w:color w:val="000000" w:themeColor="text1"/>
          <w:szCs w:val="24"/>
        </w:rPr>
        <w:t>first</w:t>
      </w:r>
      <w:r w:rsidR="00F771AD" w:rsidRPr="003B1894">
        <w:rPr>
          <w:rFonts w:cs="Times New Roman"/>
          <w:color w:val="000000" w:themeColor="text1"/>
          <w:szCs w:val="24"/>
        </w:rPr>
        <w:t xml:space="preserve"> (Fink</w:t>
      </w:r>
      <w:r w:rsidR="00FC73A3" w:rsidRPr="003B1894">
        <w:rPr>
          <w:rFonts w:cs="Times New Roman"/>
          <w:color w:val="000000" w:themeColor="text1"/>
          <w:szCs w:val="24"/>
        </w:rPr>
        <w:t xml:space="preserve"> et al.</w:t>
      </w:r>
      <w:r w:rsidR="00F771AD" w:rsidRPr="003B1894">
        <w:rPr>
          <w:rFonts w:cs="Times New Roman"/>
          <w:color w:val="000000" w:themeColor="text1"/>
          <w:szCs w:val="24"/>
        </w:rPr>
        <w:t xml:space="preserve"> 2017). </w:t>
      </w:r>
    </w:p>
    <w:p w14:paraId="1AC7EB4F" w14:textId="708938EE" w:rsidR="00D7515B" w:rsidRPr="003B1894" w:rsidRDefault="00707F74" w:rsidP="002E49CF">
      <w:pPr>
        <w:ind w:firstLine="720"/>
        <w:rPr>
          <w:rFonts w:cs="Times New Roman"/>
          <w:color w:val="000000" w:themeColor="text1"/>
          <w:szCs w:val="24"/>
        </w:rPr>
      </w:pPr>
      <w:r w:rsidRPr="003B1894">
        <w:rPr>
          <w:rFonts w:cs="Times New Roman"/>
          <w:color w:val="000000" w:themeColor="text1"/>
          <w:szCs w:val="24"/>
        </w:rPr>
        <w:t>Student retention is an important metric of student success used for some institutions</w:t>
      </w:r>
      <w:r w:rsidR="00CE4A33" w:rsidRPr="003B1894">
        <w:rPr>
          <w:rFonts w:cs="Times New Roman"/>
          <w:color w:val="000000" w:themeColor="text1"/>
          <w:szCs w:val="24"/>
        </w:rPr>
        <w:t>’</w:t>
      </w:r>
      <w:r w:rsidRPr="003B1894">
        <w:rPr>
          <w:rFonts w:cs="Times New Roman"/>
          <w:color w:val="000000" w:themeColor="text1"/>
          <w:szCs w:val="24"/>
        </w:rPr>
        <w:t xml:space="preserve"> funding levels and rank. </w:t>
      </w:r>
      <w:r w:rsidR="00D156DB" w:rsidRPr="003B1894">
        <w:rPr>
          <w:rFonts w:cs="Times New Roman"/>
          <w:color w:val="000000" w:themeColor="text1"/>
          <w:szCs w:val="24"/>
        </w:rPr>
        <w:t xml:space="preserve">Georgia uses retention as a metric for state funding levels and has </w:t>
      </w:r>
      <w:r w:rsidR="00890BED" w:rsidRPr="003B1894">
        <w:rPr>
          <w:rFonts w:cs="Times New Roman"/>
          <w:color w:val="000000" w:themeColor="text1"/>
          <w:szCs w:val="24"/>
        </w:rPr>
        <w:t>t</w:t>
      </w:r>
      <w:r w:rsidRPr="003B1894">
        <w:rPr>
          <w:rFonts w:cs="Times New Roman"/>
          <w:color w:val="000000" w:themeColor="text1"/>
          <w:szCs w:val="24"/>
        </w:rPr>
        <w:t>he Complete College Georgia Initiative</w:t>
      </w:r>
      <w:r w:rsidR="00890BED" w:rsidRPr="003B1894">
        <w:rPr>
          <w:rFonts w:cs="Times New Roman"/>
          <w:color w:val="000000" w:themeColor="text1"/>
          <w:szCs w:val="24"/>
        </w:rPr>
        <w:t>,</w:t>
      </w:r>
      <w:r w:rsidRPr="003B1894">
        <w:rPr>
          <w:rFonts w:cs="Times New Roman"/>
          <w:color w:val="000000" w:themeColor="text1"/>
          <w:szCs w:val="24"/>
        </w:rPr>
        <w:t xml:space="preserve"> </w:t>
      </w:r>
      <w:r w:rsidR="00D156DB" w:rsidRPr="003B1894">
        <w:rPr>
          <w:rFonts w:cs="Times New Roman"/>
          <w:color w:val="000000" w:themeColor="text1"/>
          <w:szCs w:val="24"/>
        </w:rPr>
        <w:t xml:space="preserve">which </w:t>
      </w:r>
      <w:r w:rsidRPr="003B1894">
        <w:rPr>
          <w:rFonts w:cs="Times New Roman"/>
          <w:color w:val="000000" w:themeColor="text1"/>
          <w:szCs w:val="24"/>
        </w:rPr>
        <w:t xml:space="preserve">applies a momentum approach for </w:t>
      </w:r>
      <w:r w:rsidR="00890BED" w:rsidRPr="003B1894">
        <w:rPr>
          <w:rFonts w:cs="Times New Roman"/>
          <w:color w:val="000000" w:themeColor="text1"/>
          <w:szCs w:val="24"/>
        </w:rPr>
        <w:t>first-year</w:t>
      </w:r>
      <w:r w:rsidRPr="003B1894">
        <w:rPr>
          <w:rFonts w:cs="Times New Roman"/>
          <w:color w:val="000000" w:themeColor="text1"/>
          <w:szCs w:val="24"/>
        </w:rPr>
        <w:t xml:space="preserve"> student</w:t>
      </w:r>
      <w:r w:rsidR="008F64E8" w:rsidRPr="003B1894">
        <w:rPr>
          <w:rFonts w:cs="Times New Roman"/>
          <w:color w:val="000000" w:themeColor="text1"/>
          <w:szCs w:val="24"/>
        </w:rPr>
        <w:t>s</w:t>
      </w:r>
      <w:r w:rsidR="00D156DB" w:rsidRPr="003B1894">
        <w:rPr>
          <w:rFonts w:cs="Times New Roman"/>
          <w:color w:val="000000" w:themeColor="text1"/>
          <w:szCs w:val="24"/>
        </w:rPr>
        <w:t xml:space="preserve"> identified</w:t>
      </w:r>
      <w:r w:rsidR="008F64E8" w:rsidRPr="003B1894">
        <w:rPr>
          <w:rFonts w:cs="Times New Roman"/>
          <w:color w:val="000000" w:themeColor="text1"/>
          <w:szCs w:val="24"/>
        </w:rPr>
        <w:t xml:space="preserve"> as the</w:t>
      </w:r>
      <w:r w:rsidRPr="003B1894">
        <w:rPr>
          <w:rFonts w:cs="Times New Roman"/>
          <w:color w:val="000000" w:themeColor="text1"/>
          <w:szCs w:val="24"/>
        </w:rPr>
        <w:t xml:space="preserve"> “Momentum Year,”</w:t>
      </w:r>
      <w:r w:rsidR="008F64E8" w:rsidRPr="003B1894">
        <w:rPr>
          <w:rFonts w:cs="Times New Roman"/>
          <w:color w:val="000000" w:themeColor="text1"/>
          <w:szCs w:val="24"/>
        </w:rPr>
        <w:t xml:space="preserve"> which includes a starting point to find their path, getting on the path, and moving toward goals to help students succeed</w:t>
      </w:r>
      <w:r w:rsidRPr="003B1894">
        <w:rPr>
          <w:rFonts w:cs="Times New Roman"/>
          <w:color w:val="000000" w:themeColor="text1"/>
          <w:szCs w:val="24"/>
        </w:rPr>
        <w:t xml:space="preserve"> (Complete College Georgia</w:t>
      </w:r>
      <w:r w:rsidR="00FC73A3" w:rsidRPr="003B1894">
        <w:rPr>
          <w:rFonts w:cs="Times New Roman"/>
          <w:color w:val="000000" w:themeColor="text1"/>
          <w:szCs w:val="24"/>
        </w:rPr>
        <w:t xml:space="preserve"> [CCG]</w:t>
      </w:r>
      <w:r w:rsidRPr="003B1894">
        <w:rPr>
          <w:rFonts w:cs="Times New Roman"/>
          <w:color w:val="000000" w:themeColor="text1"/>
          <w:szCs w:val="24"/>
        </w:rPr>
        <w:t>, 2021)</w:t>
      </w:r>
      <w:r w:rsidR="00825940" w:rsidRPr="003B1894">
        <w:rPr>
          <w:rFonts w:cs="Times New Roman"/>
          <w:color w:val="000000" w:themeColor="text1"/>
          <w:szCs w:val="24"/>
        </w:rPr>
        <w:t>.</w:t>
      </w:r>
      <w:r w:rsidR="00576521" w:rsidRPr="003B1894">
        <w:rPr>
          <w:rFonts w:cs="Times New Roman"/>
          <w:color w:val="000000" w:themeColor="text1"/>
          <w:szCs w:val="24"/>
        </w:rPr>
        <w:t xml:space="preserve"> </w:t>
      </w:r>
      <w:r w:rsidR="0006017F" w:rsidRPr="003B1894">
        <w:rPr>
          <w:rFonts w:cs="Times New Roman"/>
          <w:color w:val="000000" w:themeColor="text1"/>
          <w:szCs w:val="24"/>
        </w:rPr>
        <w:t>C</w:t>
      </w:r>
      <w:r w:rsidR="007D48CB" w:rsidRPr="003B1894">
        <w:rPr>
          <w:rFonts w:cs="Times New Roman"/>
          <w:color w:val="000000" w:themeColor="text1"/>
          <w:szCs w:val="24"/>
        </w:rPr>
        <w:t>ommunity college completion showed strong outcomes</w:t>
      </w:r>
      <w:r w:rsidR="003C4C3E" w:rsidRPr="003B1894">
        <w:rPr>
          <w:rFonts w:cs="Times New Roman"/>
          <w:color w:val="000000" w:themeColor="text1"/>
          <w:szCs w:val="24"/>
        </w:rPr>
        <w:t xml:space="preserve"> for former dual enrollment students</w:t>
      </w:r>
      <w:r w:rsidR="00F771AD" w:rsidRPr="003B1894">
        <w:rPr>
          <w:rFonts w:cs="Times New Roman"/>
          <w:color w:val="000000" w:themeColor="text1"/>
          <w:szCs w:val="24"/>
        </w:rPr>
        <w:t xml:space="preserve"> in several states such as Florida, Minnesota, and Mississippi</w:t>
      </w:r>
      <w:r w:rsidR="00052E06" w:rsidRPr="003B1894">
        <w:rPr>
          <w:rFonts w:cs="Times New Roman"/>
          <w:color w:val="000000" w:themeColor="text1"/>
          <w:szCs w:val="24"/>
        </w:rPr>
        <w:t xml:space="preserve"> (</w:t>
      </w:r>
      <w:r w:rsidR="00FC73A3" w:rsidRPr="003B1894">
        <w:rPr>
          <w:rFonts w:cs="Times New Roman"/>
          <w:color w:val="000000" w:themeColor="text1"/>
          <w:szCs w:val="24"/>
        </w:rPr>
        <w:t>CCG</w:t>
      </w:r>
      <w:r w:rsidR="00052E06" w:rsidRPr="003B1894">
        <w:rPr>
          <w:rFonts w:cs="Times New Roman"/>
          <w:color w:val="000000" w:themeColor="text1"/>
          <w:szCs w:val="24"/>
        </w:rPr>
        <w:t>, 2021)</w:t>
      </w:r>
      <w:r w:rsidR="00F771AD" w:rsidRPr="003B1894">
        <w:rPr>
          <w:rFonts w:cs="Times New Roman"/>
          <w:color w:val="000000" w:themeColor="text1"/>
          <w:szCs w:val="24"/>
        </w:rPr>
        <w:t xml:space="preserve">. </w:t>
      </w:r>
      <w:r w:rsidR="002E49CF" w:rsidRPr="003B1894">
        <w:rPr>
          <w:rFonts w:cs="Times New Roman"/>
          <w:color w:val="000000" w:themeColor="text1"/>
          <w:szCs w:val="24"/>
        </w:rPr>
        <w:t xml:space="preserve">Findings from Schaller et al. (2025) showed a substantive impact on student persistence from the first to </w:t>
      </w:r>
      <w:r w:rsidR="002E49CF" w:rsidRPr="003B1894">
        <w:rPr>
          <w:rFonts w:cs="Times New Roman"/>
          <w:color w:val="000000" w:themeColor="text1"/>
          <w:szCs w:val="24"/>
        </w:rPr>
        <w:lastRenderedPageBreak/>
        <w:t xml:space="preserve">second year of college. </w:t>
      </w:r>
      <w:r w:rsidR="00D627DD">
        <w:rPr>
          <w:rFonts w:cs="Times New Roman"/>
          <w:color w:val="000000" w:themeColor="text1"/>
          <w:szCs w:val="24"/>
        </w:rPr>
        <w:t xml:space="preserve">Data from a </w:t>
      </w:r>
      <w:r w:rsidR="002E49CF">
        <w:rPr>
          <w:rFonts w:cs="Times New Roman"/>
          <w:color w:val="000000" w:themeColor="text1"/>
          <w:szCs w:val="24"/>
        </w:rPr>
        <w:t xml:space="preserve">2023 student cohort revealed higher persistence </w:t>
      </w:r>
      <w:r w:rsidR="00D01E4B">
        <w:rPr>
          <w:rFonts w:cs="Times New Roman"/>
          <w:color w:val="000000" w:themeColor="text1"/>
          <w:szCs w:val="24"/>
        </w:rPr>
        <w:t xml:space="preserve">and retention </w:t>
      </w:r>
      <w:r w:rsidR="002E49CF">
        <w:rPr>
          <w:rFonts w:cs="Times New Roman"/>
          <w:color w:val="000000" w:themeColor="text1"/>
          <w:szCs w:val="24"/>
        </w:rPr>
        <w:t xml:space="preserve">percentage for full-time </w:t>
      </w:r>
      <w:r w:rsidR="004959FF">
        <w:rPr>
          <w:rFonts w:cs="Times New Roman"/>
          <w:color w:val="000000" w:themeColor="text1"/>
          <w:szCs w:val="24"/>
        </w:rPr>
        <w:t xml:space="preserve">first spring </w:t>
      </w:r>
      <w:r w:rsidR="006B3780">
        <w:rPr>
          <w:rFonts w:cs="Times New Roman"/>
          <w:color w:val="000000" w:themeColor="text1"/>
          <w:szCs w:val="24"/>
        </w:rPr>
        <w:t xml:space="preserve">(92.1 percent) </w:t>
      </w:r>
      <w:r w:rsidR="004959FF">
        <w:rPr>
          <w:rFonts w:cs="Times New Roman"/>
          <w:color w:val="000000" w:themeColor="text1"/>
          <w:szCs w:val="24"/>
        </w:rPr>
        <w:t xml:space="preserve">and </w:t>
      </w:r>
      <w:r w:rsidR="002E49CF">
        <w:rPr>
          <w:rFonts w:cs="Times New Roman"/>
          <w:color w:val="000000" w:themeColor="text1"/>
          <w:szCs w:val="24"/>
        </w:rPr>
        <w:t xml:space="preserve">fall to fall </w:t>
      </w:r>
      <w:r w:rsidR="006B3780">
        <w:rPr>
          <w:rFonts w:cs="Times New Roman"/>
          <w:color w:val="000000" w:themeColor="text1"/>
          <w:szCs w:val="24"/>
        </w:rPr>
        <w:t xml:space="preserve">(84.4 percent) </w:t>
      </w:r>
      <w:r w:rsidR="002E49CF">
        <w:rPr>
          <w:rFonts w:cs="Times New Roman"/>
          <w:color w:val="000000" w:themeColor="text1"/>
          <w:szCs w:val="24"/>
        </w:rPr>
        <w:t xml:space="preserve">students compared to </w:t>
      </w:r>
      <w:r w:rsidR="004959FF">
        <w:rPr>
          <w:rFonts w:cs="Times New Roman"/>
          <w:color w:val="000000" w:themeColor="text1"/>
          <w:szCs w:val="24"/>
        </w:rPr>
        <w:t>substantial disadvantages of lower percentages in both first spring</w:t>
      </w:r>
      <w:r w:rsidR="0084473B">
        <w:rPr>
          <w:rFonts w:cs="Times New Roman"/>
          <w:color w:val="000000" w:themeColor="text1"/>
          <w:szCs w:val="24"/>
        </w:rPr>
        <w:t xml:space="preserve"> </w:t>
      </w:r>
      <w:r w:rsidR="006B3780">
        <w:rPr>
          <w:rFonts w:cs="Times New Roman"/>
          <w:color w:val="000000" w:themeColor="text1"/>
          <w:szCs w:val="24"/>
        </w:rPr>
        <w:t xml:space="preserve">(67.4 percent) </w:t>
      </w:r>
      <w:r w:rsidR="004959FF">
        <w:rPr>
          <w:rFonts w:cs="Times New Roman"/>
          <w:color w:val="000000" w:themeColor="text1"/>
          <w:szCs w:val="24"/>
        </w:rPr>
        <w:t xml:space="preserve">and fall to fall </w:t>
      </w:r>
      <w:r w:rsidR="006B3780">
        <w:rPr>
          <w:rFonts w:cs="Times New Roman"/>
          <w:color w:val="000000" w:themeColor="text1"/>
          <w:szCs w:val="24"/>
        </w:rPr>
        <w:t>(53.2</w:t>
      </w:r>
      <w:r w:rsidR="002622A5">
        <w:rPr>
          <w:rFonts w:cs="Times New Roman"/>
          <w:color w:val="000000" w:themeColor="text1"/>
          <w:szCs w:val="24"/>
        </w:rPr>
        <w:t xml:space="preserve"> percent</w:t>
      </w:r>
      <w:r w:rsidR="006B3780">
        <w:rPr>
          <w:rFonts w:cs="Times New Roman"/>
          <w:color w:val="000000" w:themeColor="text1"/>
          <w:szCs w:val="24"/>
        </w:rPr>
        <w:t xml:space="preserve">) </w:t>
      </w:r>
      <w:r w:rsidR="004959FF">
        <w:rPr>
          <w:rFonts w:cs="Times New Roman"/>
          <w:color w:val="000000" w:themeColor="text1"/>
          <w:szCs w:val="24"/>
        </w:rPr>
        <w:t xml:space="preserve">of </w:t>
      </w:r>
      <w:r w:rsidR="002E49CF">
        <w:rPr>
          <w:rFonts w:cs="Times New Roman"/>
          <w:color w:val="000000" w:themeColor="text1"/>
          <w:szCs w:val="24"/>
        </w:rPr>
        <w:t>their part-</w:t>
      </w:r>
      <w:r w:rsidR="002E49CF" w:rsidRPr="002E49CF">
        <w:rPr>
          <w:rFonts w:cs="Times New Roman"/>
          <w:color w:val="000000" w:themeColor="text1"/>
          <w:szCs w:val="24"/>
        </w:rPr>
        <w:t>time peers (National Student Clearinghouse Research Center, 2025).</w:t>
      </w:r>
      <w:r w:rsidR="004959FF">
        <w:rPr>
          <w:rFonts w:cs="Times New Roman"/>
          <w:color w:val="000000" w:themeColor="text1"/>
          <w:szCs w:val="24"/>
        </w:rPr>
        <w:t xml:space="preserve"> </w:t>
      </w:r>
      <w:r w:rsidR="002622A5">
        <w:rPr>
          <w:rFonts w:cs="Times New Roman"/>
          <w:color w:val="000000" w:themeColor="text1"/>
          <w:szCs w:val="24"/>
        </w:rPr>
        <w:t xml:space="preserve">The Kentucky Council on Postsecondary Education (2020) data reported dual enrollment students were more likely to persist to a second year of college (92.2 percent) compared to students who did not participate in dual enrollment (90.1 percent). </w:t>
      </w:r>
    </w:p>
    <w:p w14:paraId="62721B3A" w14:textId="6D2EE126" w:rsidR="008F44B7" w:rsidRPr="003B1894" w:rsidRDefault="008F44B7" w:rsidP="003D1FE5">
      <w:pPr>
        <w:spacing w:before="120"/>
        <w:ind w:firstLine="720"/>
        <w:rPr>
          <w:rFonts w:eastAsia="Times New Roman" w:cs="Times New Roman"/>
          <w:color w:val="000000" w:themeColor="text1"/>
          <w:spacing w:val="3"/>
          <w:szCs w:val="24"/>
        </w:rPr>
      </w:pPr>
      <w:r w:rsidRPr="003B1894">
        <w:rPr>
          <w:rFonts w:eastAsia="Times New Roman" w:cs="Times New Roman"/>
          <w:color w:val="000000" w:themeColor="text1"/>
          <w:spacing w:val="3"/>
          <w:szCs w:val="24"/>
        </w:rPr>
        <w:t>Dual enrollment programs have become a pivotal strategy in enhancing student achievement and streamlining the path to college degree completion</w:t>
      </w:r>
      <w:r w:rsidR="001E3EB1" w:rsidRPr="003B1894">
        <w:rPr>
          <w:rFonts w:eastAsia="Times New Roman" w:cs="Times New Roman"/>
          <w:color w:val="000000" w:themeColor="text1"/>
          <w:spacing w:val="3"/>
          <w:szCs w:val="24"/>
        </w:rPr>
        <w:t xml:space="preserve"> </w:t>
      </w:r>
      <w:r w:rsidR="007D6223" w:rsidRPr="003B1894">
        <w:rPr>
          <w:rFonts w:eastAsia="Times New Roman" w:cs="Times New Roman"/>
          <w:color w:val="000000" w:themeColor="text1"/>
          <w:spacing w:val="3"/>
          <w:szCs w:val="24"/>
        </w:rPr>
        <w:t>(Liu et al., 2020; Moreno et al., 2021)</w:t>
      </w:r>
      <w:r w:rsidRPr="003B1894">
        <w:rPr>
          <w:rFonts w:eastAsia="Times New Roman" w:cs="Times New Roman"/>
          <w:color w:val="000000" w:themeColor="text1"/>
          <w:spacing w:val="3"/>
          <w:szCs w:val="24"/>
        </w:rPr>
        <w:t>. These initiatives allow high school students to undertake college-level coursework</w:t>
      </w:r>
      <w:r w:rsidR="00727C89" w:rsidRPr="003B1894">
        <w:rPr>
          <w:rFonts w:eastAsia="Times New Roman" w:cs="Times New Roman"/>
          <w:color w:val="000000" w:themeColor="text1"/>
          <w:spacing w:val="3"/>
          <w:szCs w:val="24"/>
        </w:rPr>
        <w:t xml:space="preserve"> that may increase academic rigor (Gallardo, 2025)</w:t>
      </w:r>
      <w:r w:rsidRPr="003B1894">
        <w:rPr>
          <w:rFonts w:eastAsia="Times New Roman" w:cs="Times New Roman"/>
          <w:color w:val="000000" w:themeColor="text1"/>
          <w:spacing w:val="3"/>
          <w:szCs w:val="24"/>
        </w:rPr>
        <w:t xml:space="preserve">, earning credits that </w:t>
      </w:r>
      <w:r w:rsidR="00C056D8" w:rsidRPr="003B1894">
        <w:rPr>
          <w:rFonts w:eastAsia="Times New Roman" w:cs="Times New Roman"/>
          <w:color w:val="000000" w:themeColor="text1"/>
          <w:spacing w:val="3"/>
          <w:szCs w:val="24"/>
        </w:rPr>
        <w:t xml:space="preserve">can </w:t>
      </w:r>
      <w:r w:rsidRPr="003B1894">
        <w:rPr>
          <w:rFonts w:eastAsia="Times New Roman" w:cs="Times New Roman"/>
          <w:color w:val="000000" w:themeColor="text1"/>
          <w:spacing w:val="3"/>
          <w:szCs w:val="24"/>
        </w:rPr>
        <w:t>apply to postsecondary education</w:t>
      </w:r>
      <w:r w:rsidR="001E12E4" w:rsidRPr="003B1894">
        <w:rPr>
          <w:rFonts w:eastAsia="Times New Roman" w:cs="Times New Roman"/>
          <w:color w:val="000000" w:themeColor="text1"/>
          <w:spacing w:val="3"/>
          <w:szCs w:val="24"/>
        </w:rPr>
        <w:t xml:space="preserve"> (CCRC, 2024)</w:t>
      </w:r>
      <w:r w:rsidR="00727C89" w:rsidRPr="003B1894">
        <w:rPr>
          <w:rFonts w:eastAsia="Times New Roman" w:cs="Times New Roman"/>
          <w:color w:val="000000" w:themeColor="text1"/>
          <w:spacing w:val="3"/>
          <w:szCs w:val="24"/>
        </w:rPr>
        <w:t xml:space="preserve">; programs that may bridge the gap </w:t>
      </w:r>
      <w:r w:rsidR="00890BED" w:rsidRPr="003B1894">
        <w:rPr>
          <w:rFonts w:eastAsia="Times New Roman" w:cs="Times New Roman"/>
          <w:color w:val="000000" w:themeColor="text1"/>
          <w:spacing w:val="3"/>
          <w:szCs w:val="24"/>
        </w:rPr>
        <w:t xml:space="preserve">between </w:t>
      </w:r>
      <w:r w:rsidR="00727C89" w:rsidRPr="003B1894">
        <w:rPr>
          <w:rFonts w:eastAsia="Times New Roman" w:cs="Times New Roman"/>
          <w:color w:val="000000" w:themeColor="text1"/>
          <w:spacing w:val="3"/>
          <w:szCs w:val="24"/>
        </w:rPr>
        <w:t xml:space="preserve">high school and college (Gallardo, 2025). </w:t>
      </w:r>
      <w:r w:rsidRPr="003B1894">
        <w:rPr>
          <w:rFonts w:eastAsia="Times New Roman" w:cs="Times New Roman"/>
          <w:color w:val="000000" w:themeColor="text1"/>
          <w:spacing w:val="3"/>
          <w:szCs w:val="24"/>
        </w:rPr>
        <w:t>Dual enrollment participation has been linked to an increased likelihood of degree attainment and a shorter time to comp</w:t>
      </w:r>
      <w:r w:rsidR="00CE4A33" w:rsidRPr="003B1894">
        <w:rPr>
          <w:rFonts w:eastAsia="Times New Roman" w:cs="Times New Roman"/>
          <w:color w:val="000000" w:themeColor="text1"/>
          <w:spacing w:val="3"/>
          <w:szCs w:val="24"/>
        </w:rPr>
        <w:t>l</w:t>
      </w:r>
      <w:r w:rsidRPr="003B1894">
        <w:rPr>
          <w:rFonts w:eastAsia="Times New Roman" w:cs="Times New Roman"/>
          <w:color w:val="000000" w:themeColor="text1"/>
          <w:spacing w:val="3"/>
          <w:szCs w:val="24"/>
        </w:rPr>
        <w:t>ete a bachelor’s degree (</w:t>
      </w:r>
      <w:r w:rsidR="00C5194E" w:rsidRPr="003B1894">
        <w:rPr>
          <w:rFonts w:eastAsia="Times New Roman" w:cs="Times New Roman"/>
          <w:color w:val="000000" w:themeColor="text1"/>
          <w:spacing w:val="3"/>
          <w:szCs w:val="24"/>
        </w:rPr>
        <w:t>Melons et al., 2022</w:t>
      </w:r>
      <w:r w:rsidRPr="003B1894">
        <w:rPr>
          <w:rFonts w:eastAsia="Times New Roman" w:cs="Times New Roman"/>
          <w:color w:val="000000" w:themeColor="text1"/>
          <w:spacing w:val="3"/>
          <w:szCs w:val="24"/>
        </w:rPr>
        <w:t>).</w:t>
      </w:r>
      <w:r w:rsidR="00E36515" w:rsidRPr="003B1894">
        <w:rPr>
          <w:rFonts w:eastAsia="Times New Roman" w:cs="Times New Roman"/>
          <w:color w:val="000000" w:themeColor="text1"/>
          <w:spacing w:val="3"/>
          <w:szCs w:val="24"/>
        </w:rPr>
        <w:t xml:space="preserve"> </w:t>
      </w:r>
      <w:r w:rsidR="003D1FE5" w:rsidRPr="003B1894">
        <w:rPr>
          <w:rFonts w:eastAsia="Times New Roman" w:cs="Times New Roman"/>
          <w:color w:val="000000" w:themeColor="text1"/>
          <w:spacing w:val="3"/>
          <w:szCs w:val="24"/>
        </w:rPr>
        <w:t>Velasco et al. (2024) found dual enrollment growth across states</w:t>
      </w:r>
      <w:r w:rsidR="007E04A0" w:rsidRPr="003B1894">
        <w:rPr>
          <w:rFonts w:eastAsia="Times New Roman" w:cs="Times New Roman"/>
          <w:color w:val="000000" w:themeColor="text1"/>
          <w:spacing w:val="3"/>
          <w:szCs w:val="24"/>
        </w:rPr>
        <w:t>,</w:t>
      </w:r>
      <w:r w:rsidR="003D1FE5" w:rsidRPr="003B1894">
        <w:rPr>
          <w:rFonts w:eastAsia="Times New Roman" w:cs="Times New Roman"/>
          <w:color w:val="000000" w:themeColor="text1"/>
          <w:spacing w:val="3"/>
          <w:szCs w:val="24"/>
        </w:rPr>
        <w:t xml:space="preserve"> especially at community colleges</w:t>
      </w:r>
      <w:r w:rsidR="00D366C6" w:rsidRPr="003B1894">
        <w:rPr>
          <w:rFonts w:eastAsia="Times New Roman" w:cs="Times New Roman"/>
          <w:color w:val="000000" w:themeColor="text1"/>
          <w:spacing w:val="3"/>
          <w:szCs w:val="24"/>
        </w:rPr>
        <w:t>, showed</w:t>
      </w:r>
      <w:r w:rsidR="003D1FE5" w:rsidRPr="003B1894">
        <w:rPr>
          <w:rFonts w:eastAsia="Times New Roman" w:cs="Times New Roman"/>
          <w:color w:val="000000" w:themeColor="text1"/>
          <w:spacing w:val="3"/>
          <w:szCs w:val="24"/>
        </w:rPr>
        <w:t xml:space="preserve"> a 46% increase from </w:t>
      </w:r>
      <w:r w:rsidR="003D1FE5" w:rsidRPr="001A648A">
        <w:rPr>
          <w:rFonts w:eastAsia="Times New Roman" w:cs="Times New Roman"/>
          <w:color w:val="000000" w:themeColor="text1"/>
          <w:spacing w:val="3"/>
          <w:szCs w:val="24"/>
        </w:rPr>
        <w:t>fall 2015 to fall 2015</w:t>
      </w:r>
      <w:r w:rsidR="003D1FE5" w:rsidRPr="003B1894">
        <w:rPr>
          <w:rFonts w:eastAsia="Times New Roman" w:cs="Times New Roman"/>
          <w:color w:val="000000" w:themeColor="text1"/>
          <w:spacing w:val="3"/>
          <w:szCs w:val="24"/>
        </w:rPr>
        <w:t xml:space="preserve"> with an additional 18% growth from fall 2021 to fall 2023. </w:t>
      </w:r>
      <w:r w:rsidR="00E36515" w:rsidRPr="003B1894">
        <w:rPr>
          <w:rFonts w:eastAsia="Times New Roman" w:cs="Times New Roman"/>
          <w:color w:val="000000" w:themeColor="text1"/>
          <w:spacing w:val="3"/>
          <w:szCs w:val="24"/>
        </w:rPr>
        <w:t>Velasco et al.</w:t>
      </w:r>
      <w:r w:rsidR="00260899" w:rsidRPr="003B1894">
        <w:rPr>
          <w:rFonts w:eastAsia="Times New Roman" w:cs="Times New Roman"/>
          <w:color w:val="000000" w:themeColor="text1"/>
          <w:spacing w:val="3"/>
          <w:szCs w:val="24"/>
        </w:rPr>
        <w:t xml:space="preserve"> also found 42% of dual enrollment students completed a college award within four years of high school graduation (Velasco et al., 2024).</w:t>
      </w:r>
      <w:r w:rsidR="003D1FE5" w:rsidRPr="003B1894">
        <w:rPr>
          <w:rFonts w:eastAsia="Times New Roman" w:cs="Times New Roman"/>
          <w:color w:val="000000" w:themeColor="text1"/>
          <w:spacing w:val="3"/>
          <w:szCs w:val="24"/>
        </w:rPr>
        <w:t xml:space="preserve"> </w:t>
      </w:r>
      <w:r w:rsidR="00074677" w:rsidRPr="003B1894">
        <w:rPr>
          <w:rFonts w:eastAsia="Times New Roman" w:cs="Times New Roman"/>
          <w:color w:val="000000" w:themeColor="text1"/>
          <w:spacing w:val="3"/>
          <w:szCs w:val="24"/>
        </w:rPr>
        <w:t>Research</w:t>
      </w:r>
      <w:r w:rsidR="00D366C6" w:rsidRPr="003B1894">
        <w:rPr>
          <w:rFonts w:eastAsia="Times New Roman" w:cs="Times New Roman"/>
          <w:color w:val="000000" w:themeColor="text1"/>
          <w:spacing w:val="3"/>
          <w:szCs w:val="24"/>
        </w:rPr>
        <w:t xml:space="preserve"> found that the “overwhelming majority of DE students who matriculated in college after high school enrolled first in their DE institution” (</w:t>
      </w:r>
      <w:r w:rsidR="00074677" w:rsidRPr="003B1894">
        <w:rPr>
          <w:rFonts w:eastAsia="Times New Roman" w:cs="Times New Roman"/>
          <w:color w:val="000000" w:themeColor="text1"/>
          <w:spacing w:val="3"/>
          <w:szCs w:val="24"/>
        </w:rPr>
        <w:t xml:space="preserve">Pretlow et al., 2021, </w:t>
      </w:r>
      <w:r w:rsidR="00D366C6" w:rsidRPr="003B1894">
        <w:rPr>
          <w:rFonts w:eastAsia="Times New Roman" w:cs="Times New Roman"/>
          <w:color w:val="000000" w:themeColor="text1"/>
          <w:spacing w:val="3"/>
          <w:szCs w:val="24"/>
        </w:rPr>
        <w:t>p.</w:t>
      </w:r>
      <w:r w:rsidR="00074677" w:rsidRPr="003B1894">
        <w:rPr>
          <w:rFonts w:eastAsia="Times New Roman" w:cs="Times New Roman"/>
          <w:color w:val="000000" w:themeColor="text1"/>
          <w:spacing w:val="3"/>
          <w:szCs w:val="24"/>
        </w:rPr>
        <w:t xml:space="preserve"> </w:t>
      </w:r>
      <w:r w:rsidR="00D366C6" w:rsidRPr="003B1894">
        <w:rPr>
          <w:rFonts w:eastAsia="Times New Roman" w:cs="Times New Roman"/>
          <w:color w:val="000000" w:themeColor="text1"/>
          <w:spacing w:val="3"/>
          <w:szCs w:val="24"/>
        </w:rPr>
        <w:t xml:space="preserve">766). </w:t>
      </w:r>
      <w:r w:rsidRPr="003B1894">
        <w:rPr>
          <w:rFonts w:eastAsia="Times New Roman" w:cs="Times New Roman"/>
          <w:color w:val="000000" w:themeColor="text1"/>
          <w:spacing w:val="3"/>
          <w:szCs w:val="24"/>
        </w:rPr>
        <w:t xml:space="preserve">These findings suggest that dual enrollment facilitates a smoother transition from high school to college </w:t>
      </w:r>
      <w:r w:rsidR="003E4AD2" w:rsidRPr="003B1894">
        <w:rPr>
          <w:rFonts w:eastAsia="Times New Roman" w:cs="Times New Roman"/>
          <w:color w:val="000000" w:themeColor="text1"/>
          <w:spacing w:val="3"/>
          <w:szCs w:val="24"/>
        </w:rPr>
        <w:t xml:space="preserve">and </w:t>
      </w:r>
      <w:r w:rsidRPr="003B1894">
        <w:rPr>
          <w:rFonts w:eastAsia="Times New Roman" w:cs="Times New Roman"/>
          <w:color w:val="000000" w:themeColor="text1"/>
          <w:spacing w:val="3"/>
          <w:szCs w:val="24"/>
        </w:rPr>
        <w:t>contributes to long-term academic success (Fink</w:t>
      </w:r>
      <w:r w:rsidR="00F13188" w:rsidRPr="003B1894">
        <w:rPr>
          <w:rFonts w:eastAsia="Times New Roman" w:cs="Times New Roman"/>
          <w:color w:val="000000" w:themeColor="text1"/>
          <w:spacing w:val="3"/>
          <w:szCs w:val="24"/>
        </w:rPr>
        <w:t xml:space="preserve"> et al.</w:t>
      </w:r>
      <w:r w:rsidRPr="003B1894">
        <w:rPr>
          <w:rFonts w:eastAsia="Times New Roman" w:cs="Times New Roman"/>
          <w:color w:val="000000" w:themeColor="text1"/>
          <w:spacing w:val="3"/>
          <w:szCs w:val="24"/>
        </w:rPr>
        <w:t xml:space="preserve">, 2017). </w:t>
      </w:r>
    </w:p>
    <w:p w14:paraId="585B4813" w14:textId="4C1DF0AB" w:rsidR="00900FDC" w:rsidRPr="00594A8C" w:rsidRDefault="00D70C3D" w:rsidP="008A516E">
      <w:pPr>
        <w:spacing w:before="120"/>
        <w:ind w:firstLine="720"/>
        <w:rPr>
          <w:rFonts w:eastAsia="Times New Roman" w:cs="Times New Roman"/>
          <w:color w:val="000000" w:themeColor="text1"/>
          <w:szCs w:val="24"/>
        </w:rPr>
      </w:pPr>
      <w:r w:rsidRPr="00594A8C">
        <w:rPr>
          <w:rFonts w:eastAsia="Times New Roman" w:cs="Times New Roman"/>
          <w:color w:val="000000" w:themeColor="text1"/>
          <w:szCs w:val="24"/>
        </w:rPr>
        <w:lastRenderedPageBreak/>
        <w:t xml:space="preserve">Grub et al. (2017) reported that dual enrollment has been shown to benefit students at the community college level in that participants tended to avoid remediation and experience a higher rate of timely completion. State legislation such as the Complete College </w:t>
      </w:r>
      <w:r w:rsidR="001C46C2" w:rsidRPr="00594A8C">
        <w:rPr>
          <w:rFonts w:eastAsia="Times New Roman" w:cs="Times New Roman"/>
          <w:color w:val="000000" w:themeColor="text1"/>
          <w:szCs w:val="24"/>
        </w:rPr>
        <w:t xml:space="preserve">TN </w:t>
      </w:r>
      <w:r w:rsidRPr="00594A8C">
        <w:rPr>
          <w:rFonts w:eastAsia="Times New Roman" w:cs="Times New Roman"/>
          <w:color w:val="000000" w:themeColor="text1"/>
          <w:szCs w:val="24"/>
        </w:rPr>
        <w:t xml:space="preserve">Act, Complete to Compete initiative, Tennessee Promise, Tennessee Reconnect, </w:t>
      </w:r>
      <w:r w:rsidR="00157274" w:rsidRPr="00594A8C">
        <w:rPr>
          <w:rFonts w:eastAsia="Times New Roman" w:cs="Times New Roman"/>
          <w:color w:val="000000" w:themeColor="text1"/>
          <w:szCs w:val="24"/>
        </w:rPr>
        <w:t>Governor’s Investment in Vocational Education (</w:t>
      </w:r>
      <w:r w:rsidRPr="00594A8C">
        <w:rPr>
          <w:rFonts w:eastAsia="Times New Roman" w:cs="Times New Roman"/>
          <w:color w:val="000000" w:themeColor="text1"/>
          <w:szCs w:val="24"/>
        </w:rPr>
        <w:t>GIVE</w:t>
      </w:r>
      <w:r w:rsidR="00157274" w:rsidRPr="00594A8C">
        <w:rPr>
          <w:rFonts w:eastAsia="Times New Roman" w:cs="Times New Roman"/>
          <w:color w:val="000000" w:themeColor="text1"/>
          <w:szCs w:val="24"/>
        </w:rPr>
        <w:t>)</w:t>
      </w:r>
      <w:r w:rsidRPr="00594A8C">
        <w:rPr>
          <w:rFonts w:eastAsia="Times New Roman" w:cs="Times New Roman"/>
          <w:color w:val="000000" w:themeColor="text1"/>
          <w:szCs w:val="24"/>
        </w:rPr>
        <w:t xml:space="preserve"> Act, </w:t>
      </w:r>
      <w:r w:rsidR="00157274" w:rsidRPr="00594A8C">
        <w:rPr>
          <w:rFonts w:eastAsia="Times New Roman" w:cs="Times New Roman"/>
          <w:color w:val="000000" w:themeColor="text1"/>
          <w:szCs w:val="24"/>
        </w:rPr>
        <w:t xml:space="preserve">Supporting Access in Rural Counties (SPARC), </w:t>
      </w:r>
      <w:r w:rsidRPr="00594A8C">
        <w:rPr>
          <w:rFonts w:eastAsia="Times New Roman" w:cs="Times New Roman"/>
          <w:color w:val="000000" w:themeColor="text1"/>
          <w:szCs w:val="24"/>
        </w:rPr>
        <w:t>and the Tennessee Education Freedom Act help to provide access for Tennessee students (THEC, 2020</w:t>
      </w:r>
      <w:r w:rsidR="00157274" w:rsidRPr="00594A8C">
        <w:rPr>
          <w:rFonts w:eastAsia="Times New Roman" w:cs="Times New Roman"/>
          <w:color w:val="000000" w:themeColor="text1"/>
          <w:szCs w:val="24"/>
        </w:rPr>
        <w:t xml:space="preserve">; THEC, </w:t>
      </w:r>
      <w:r w:rsidR="00157274" w:rsidRPr="00B41459">
        <w:rPr>
          <w:rFonts w:eastAsia="Times New Roman" w:cs="Times New Roman"/>
          <w:color w:val="000000" w:themeColor="text1"/>
          <w:szCs w:val="24"/>
        </w:rPr>
        <w:t>2022</w:t>
      </w:r>
      <w:r w:rsidRPr="00B41459">
        <w:rPr>
          <w:rFonts w:eastAsia="Times New Roman" w:cs="Times New Roman"/>
          <w:color w:val="000000" w:themeColor="text1"/>
          <w:szCs w:val="24"/>
        </w:rPr>
        <w:t xml:space="preserve">). </w:t>
      </w:r>
      <w:r w:rsidR="00EA66B8" w:rsidRPr="00B41459">
        <w:rPr>
          <w:rFonts w:eastAsia="Times New Roman" w:cs="Times New Roman"/>
          <w:color w:val="000000" w:themeColor="text1"/>
          <w:szCs w:val="24"/>
        </w:rPr>
        <w:t>Tennessee’s Dual Enrollment Grant amendment expanded eligibility requirements to for high school sophomores</w:t>
      </w:r>
      <w:r w:rsidR="00B41459">
        <w:rPr>
          <w:rFonts w:eastAsia="Times New Roman" w:cs="Times New Roman"/>
          <w:color w:val="000000" w:themeColor="text1"/>
          <w:szCs w:val="24"/>
        </w:rPr>
        <w:t xml:space="preserve"> (Tennessee State Government, 2026). </w:t>
      </w:r>
      <w:r w:rsidRPr="00594A8C">
        <w:rPr>
          <w:rFonts w:eastAsia="Times New Roman" w:cs="Times New Roman"/>
          <w:color w:val="000000" w:themeColor="text1"/>
          <w:spacing w:val="3"/>
          <w:szCs w:val="24"/>
        </w:rPr>
        <w:t>Although dual enrollment programs present a promising avenue for enhancing educational outcomes and expediting degree attainment</w:t>
      </w:r>
      <w:r w:rsidR="00C50E18" w:rsidRPr="00594A8C">
        <w:rPr>
          <w:rFonts w:eastAsia="Times New Roman" w:cs="Times New Roman"/>
          <w:color w:val="000000" w:themeColor="text1"/>
          <w:spacing w:val="3"/>
          <w:szCs w:val="24"/>
        </w:rPr>
        <w:t xml:space="preserve"> (Fink et al., 2017; Liu et al., 2020; Moreno et al., 2021;</w:t>
      </w:r>
      <w:r w:rsidR="006256E8" w:rsidRPr="00594A8C">
        <w:rPr>
          <w:rFonts w:eastAsia="Times New Roman" w:cs="Times New Roman"/>
          <w:color w:val="000000" w:themeColor="text1"/>
          <w:spacing w:val="3"/>
          <w:szCs w:val="24"/>
        </w:rPr>
        <w:t xml:space="preserve"> Taylor et al., 2022;</w:t>
      </w:r>
      <w:r w:rsidR="00C50E18" w:rsidRPr="00594A8C">
        <w:rPr>
          <w:rFonts w:eastAsia="Times New Roman" w:cs="Times New Roman"/>
          <w:color w:val="000000" w:themeColor="text1"/>
          <w:spacing w:val="3"/>
          <w:szCs w:val="24"/>
        </w:rPr>
        <w:t xml:space="preserve"> Velasco et al., 2024)</w:t>
      </w:r>
      <w:r w:rsidRPr="00594A8C">
        <w:rPr>
          <w:rFonts w:eastAsia="Times New Roman" w:cs="Times New Roman"/>
          <w:color w:val="000000" w:themeColor="text1"/>
          <w:spacing w:val="3"/>
          <w:szCs w:val="24"/>
        </w:rPr>
        <w:t>, ongoing research and policy efforts are necessary to address challenges related to course quality and equitable access</w:t>
      </w:r>
      <w:r w:rsidR="006256E8" w:rsidRPr="00594A8C">
        <w:rPr>
          <w:rFonts w:eastAsia="Times New Roman" w:cs="Times New Roman"/>
          <w:color w:val="000000" w:themeColor="text1"/>
          <w:spacing w:val="3"/>
          <w:szCs w:val="24"/>
        </w:rPr>
        <w:t xml:space="preserve"> (Taylor et al., 2022)</w:t>
      </w:r>
      <w:r w:rsidRPr="00594A8C">
        <w:rPr>
          <w:rFonts w:eastAsia="Times New Roman" w:cs="Times New Roman"/>
          <w:color w:val="000000" w:themeColor="text1"/>
          <w:spacing w:val="3"/>
          <w:szCs w:val="24"/>
        </w:rPr>
        <w:t xml:space="preserve">. By confronting these issues, dual enrollment can more effectively serve as </w:t>
      </w:r>
      <w:r w:rsidR="006256E8" w:rsidRPr="00594A8C">
        <w:rPr>
          <w:rFonts w:eastAsia="Times New Roman" w:cs="Times New Roman"/>
          <w:color w:val="000000" w:themeColor="text1"/>
          <w:spacing w:val="3"/>
          <w:szCs w:val="24"/>
        </w:rPr>
        <w:t>an</w:t>
      </w:r>
      <w:r w:rsidRPr="00594A8C">
        <w:rPr>
          <w:rFonts w:eastAsia="Times New Roman" w:cs="Times New Roman"/>
          <w:color w:val="000000" w:themeColor="text1"/>
          <w:spacing w:val="3"/>
          <w:szCs w:val="24"/>
        </w:rPr>
        <w:t xml:space="preserve"> </w:t>
      </w:r>
      <w:r w:rsidR="006256E8" w:rsidRPr="00594A8C">
        <w:rPr>
          <w:rFonts w:eastAsia="Times New Roman" w:cs="Times New Roman"/>
          <w:color w:val="000000" w:themeColor="text1"/>
          <w:spacing w:val="3"/>
          <w:szCs w:val="24"/>
        </w:rPr>
        <w:t xml:space="preserve">equitable </w:t>
      </w:r>
      <w:r w:rsidRPr="00594A8C">
        <w:rPr>
          <w:rFonts w:eastAsia="Times New Roman" w:cs="Times New Roman"/>
          <w:color w:val="000000" w:themeColor="text1"/>
          <w:spacing w:val="3"/>
          <w:szCs w:val="24"/>
        </w:rPr>
        <w:t>bridge to higher education for a diverse range of students</w:t>
      </w:r>
      <w:r w:rsidR="006256E8" w:rsidRPr="00594A8C">
        <w:rPr>
          <w:rFonts w:eastAsia="Times New Roman" w:cs="Times New Roman"/>
          <w:color w:val="000000" w:themeColor="text1"/>
          <w:spacing w:val="3"/>
          <w:szCs w:val="24"/>
        </w:rPr>
        <w:t xml:space="preserve"> (Taylor et al., 2022)</w:t>
      </w:r>
      <w:r w:rsidRPr="00594A8C">
        <w:rPr>
          <w:rFonts w:eastAsia="Times New Roman" w:cs="Times New Roman"/>
          <w:color w:val="000000" w:themeColor="text1"/>
          <w:spacing w:val="3"/>
          <w:szCs w:val="24"/>
        </w:rPr>
        <w:t xml:space="preserve">. </w:t>
      </w:r>
    </w:p>
    <w:p w14:paraId="1697B56E" w14:textId="77777777" w:rsidR="00ED15DE" w:rsidRPr="00E3743C" w:rsidRDefault="00ED15DE" w:rsidP="00ED15DE">
      <w:pPr>
        <w:pStyle w:val="Heading3"/>
      </w:pPr>
      <w:bookmarkStart w:id="44" w:name="_Toc224458897"/>
      <w:r>
        <w:rPr>
          <w:rFonts w:cs="Times New Roman"/>
          <w:color w:val="000000" w:themeColor="text1"/>
        </w:rPr>
        <w:t>Challenges</w:t>
      </w:r>
      <w:r w:rsidRPr="00291504">
        <w:rPr>
          <w:rFonts w:cs="Times New Roman"/>
          <w:color w:val="000000" w:themeColor="text1"/>
        </w:rPr>
        <w:t xml:space="preserve"> of Dual Enrollment</w:t>
      </w:r>
      <w:bookmarkEnd w:id="44"/>
    </w:p>
    <w:p w14:paraId="3EEDA601" w14:textId="77777777" w:rsidR="007D740B" w:rsidRDefault="00A841F2" w:rsidP="000C0E0B">
      <w:pPr>
        <w:ind w:firstLine="720"/>
      </w:pPr>
      <w:r>
        <w:t>Dual enrollment programs, which allow high school students to take college-level courses and earn credit prior to graduation, have expanded rapidly</w:t>
      </w:r>
      <w:r w:rsidR="00B1004C">
        <w:t xml:space="preserve"> across the </w:t>
      </w:r>
      <w:r w:rsidR="00B1004C" w:rsidRPr="000C0E0B">
        <w:t>United States</w:t>
      </w:r>
      <w:r w:rsidR="000C0E0B" w:rsidRPr="000C0E0B">
        <w:t>, especially for community college enrollment (CCRC, 2024)</w:t>
      </w:r>
      <w:r w:rsidR="00B1004C" w:rsidRPr="000C0E0B">
        <w:t>.</w:t>
      </w:r>
      <w:r w:rsidR="00B1004C">
        <w:t xml:space="preserve"> </w:t>
      </w:r>
    </w:p>
    <w:p w14:paraId="6CA96A3F" w14:textId="3E063B8C" w:rsidR="007D740B" w:rsidRDefault="00264441" w:rsidP="007D740B">
      <w:pPr>
        <w:ind w:left="720"/>
        <w:rPr>
          <w:rFonts w:cs="Times New Roman"/>
          <w:color w:val="000000" w:themeColor="text1"/>
          <w:szCs w:val="24"/>
        </w:rPr>
      </w:pPr>
      <w:r>
        <w:rPr>
          <w:rFonts w:cs="Times New Roman"/>
          <w:color w:val="000000" w:themeColor="text1"/>
          <w:szCs w:val="24"/>
        </w:rPr>
        <w:t xml:space="preserve">The research is clear: dual enrollment is an evidence-based practice that has broad positive impacts on student outcomes, including college enrollment and completion. It is prevalent nationwide, and widely supported by students, parents, and education policymakers and practitioners. If implemented thoughtfully, intentionally, and equitably, </w:t>
      </w:r>
      <w:r>
        <w:rPr>
          <w:rFonts w:cs="Times New Roman"/>
          <w:color w:val="000000" w:themeColor="text1"/>
          <w:szCs w:val="24"/>
        </w:rPr>
        <w:lastRenderedPageBreak/>
        <w:t>the benefits to students’ college and career pathways can be significant</w:t>
      </w:r>
      <w:r w:rsidR="007D740B">
        <w:rPr>
          <w:rFonts w:cs="Times New Roman"/>
          <w:color w:val="000000" w:themeColor="text1"/>
          <w:szCs w:val="24"/>
        </w:rPr>
        <w:t>.</w:t>
      </w:r>
      <w:r>
        <w:rPr>
          <w:rFonts w:cs="Times New Roman"/>
          <w:color w:val="000000" w:themeColor="text1"/>
          <w:szCs w:val="24"/>
        </w:rPr>
        <w:t xml:space="preserve"> (Taylor et al., 2022, p. 2)</w:t>
      </w:r>
    </w:p>
    <w:p w14:paraId="13C7D99E" w14:textId="1DDA7F47" w:rsidR="008F44B7" w:rsidRDefault="00264441" w:rsidP="000C0E0B">
      <w:pPr>
        <w:ind w:firstLine="720"/>
        <w:rPr>
          <w:rFonts w:cs="Times New Roman"/>
          <w:color w:val="000000" w:themeColor="text1"/>
          <w:szCs w:val="24"/>
        </w:rPr>
      </w:pPr>
      <w:r>
        <w:rPr>
          <w:rFonts w:cs="Times New Roman"/>
          <w:color w:val="000000" w:themeColor="text1"/>
          <w:szCs w:val="24"/>
        </w:rPr>
        <w:t xml:space="preserve"> </w:t>
      </w:r>
      <w:r w:rsidR="00B1004C">
        <w:t>While widely praised for promoting college readiness and accelerated degree completion, these programs are not without challenges.</w:t>
      </w:r>
      <w:r w:rsidR="002433A6" w:rsidRPr="002433A6">
        <w:t xml:space="preserve"> </w:t>
      </w:r>
      <w:r w:rsidR="00602AB5">
        <w:t xml:space="preserve">Early access to college courses through Advanced Placement (AP) or dual enrollment opportunities has become popular among American high schools (Edmunds et al., 2017). </w:t>
      </w:r>
      <w:r w:rsidR="00F906B7">
        <w:t xml:space="preserve">Mixed findings have been reported by researchers looking into the relationship between </w:t>
      </w:r>
      <w:r w:rsidR="00602AB5">
        <w:t>these early access courses</w:t>
      </w:r>
      <w:r w:rsidR="00F906B7">
        <w:t xml:space="preserve"> and postsecondary outcomes; some have identified favorable associations with postsecondary enrollment and performances while others found none (Edmunds et al., 2017). </w:t>
      </w:r>
      <w:r w:rsidR="008F44B7">
        <w:rPr>
          <w:rFonts w:cs="Times New Roman"/>
          <w:color w:val="000000" w:themeColor="text1"/>
          <w:szCs w:val="24"/>
        </w:rPr>
        <w:t>While research in dual enrollment outcomes has shown</w:t>
      </w:r>
      <w:r w:rsidR="00890BED">
        <w:rPr>
          <w:rFonts w:cs="Times New Roman"/>
          <w:color w:val="000000" w:themeColor="text1"/>
          <w:szCs w:val="24"/>
        </w:rPr>
        <w:t xml:space="preserve"> a</w:t>
      </w:r>
      <w:r w:rsidR="008F44B7">
        <w:rPr>
          <w:rFonts w:cs="Times New Roman"/>
          <w:color w:val="000000" w:themeColor="text1"/>
          <w:szCs w:val="24"/>
        </w:rPr>
        <w:t xml:space="preserve"> steady increase in enrollment and student outcomes, Velasco et al. (2024) report</w:t>
      </w:r>
      <w:r w:rsidR="00BD1110">
        <w:rPr>
          <w:rFonts w:cs="Times New Roman"/>
          <w:color w:val="000000" w:themeColor="text1"/>
          <w:szCs w:val="24"/>
        </w:rPr>
        <w:t>ed</w:t>
      </w:r>
      <w:r w:rsidR="008F44B7">
        <w:rPr>
          <w:rFonts w:cs="Times New Roman"/>
          <w:color w:val="000000" w:themeColor="text1"/>
          <w:szCs w:val="24"/>
        </w:rPr>
        <w:t xml:space="preserve"> substantial “state-by-state” differences in student outcomes with recommendation</w:t>
      </w:r>
      <w:r w:rsidR="00890BED">
        <w:rPr>
          <w:rFonts w:cs="Times New Roman"/>
          <w:color w:val="000000" w:themeColor="text1"/>
          <w:szCs w:val="24"/>
        </w:rPr>
        <w:t>s</w:t>
      </w:r>
      <w:r w:rsidR="008F44B7">
        <w:rPr>
          <w:rFonts w:cs="Times New Roman"/>
          <w:color w:val="000000" w:themeColor="text1"/>
          <w:szCs w:val="24"/>
        </w:rPr>
        <w:t xml:space="preserve"> for states and institutions to </w:t>
      </w:r>
      <w:r w:rsidR="008F44B7" w:rsidRPr="00DC2D36">
        <w:rPr>
          <w:rFonts w:cs="Times New Roman"/>
          <w:color w:val="000000" w:themeColor="text1"/>
          <w:szCs w:val="24"/>
        </w:rPr>
        <w:t xml:space="preserve">expand access and broaden benefits for student success, particularly underrepresented </w:t>
      </w:r>
      <w:r w:rsidR="008F44B7" w:rsidRPr="00394D23">
        <w:rPr>
          <w:rFonts w:cs="Times New Roman"/>
          <w:color w:val="000000" w:themeColor="text1"/>
          <w:szCs w:val="24"/>
        </w:rPr>
        <w:t>groups.</w:t>
      </w:r>
      <w:r w:rsidR="0036140B" w:rsidRPr="00394D23">
        <w:rPr>
          <w:rFonts w:cs="Times New Roman"/>
          <w:color w:val="000000" w:themeColor="text1"/>
          <w:szCs w:val="24"/>
        </w:rPr>
        <w:t xml:space="preserve"> </w:t>
      </w:r>
      <w:r w:rsidR="0036140B" w:rsidRPr="00394D23">
        <w:t>Fink et al. (2022) reported</w:t>
      </w:r>
      <w:r w:rsidR="0036140B">
        <w:t xml:space="preserve"> that access to dual enrollment is uneven, which means students most likely to benefit form a head start in college are frequently unable to take advantage of the opportunities.</w:t>
      </w:r>
    </w:p>
    <w:p w14:paraId="6BE38871" w14:textId="13984BF0" w:rsidR="00FF27CE" w:rsidRDefault="00FF27CE" w:rsidP="000C0E0B">
      <w:pPr>
        <w:ind w:firstLine="720"/>
        <w:rPr>
          <w:rFonts w:eastAsia="Times New Roman" w:cs="Times New Roman"/>
          <w:color w:val="000000" w:themeColor="text1"/>
          <w:spacing w:val="3"/>
          <w:szCs w:val="24"/>
        </w:rPr>
      </w:pPr>
      <w:r w:rsidRPr="00FF27CE">
        <w:t xml:space="preserve">Velasco et al. (2024) found that </w:t>
      </w:r>
      <w:r>
        <w:t>students from low-income backgrounds, as well as Black and Hispanic students, are underrepresented in dual enrollment programs. Yet, low-income, Black, and Hispanic dual enrollees showed stronger rates of completion than non-dual enrollment participants</w:t>
      </w:r>
      <w:r w:rsidR="005C0046">
        <w:t xml:space="preserve"> (Velasco et al., 2024). </w:t>
      </w:r>
      <w:r w:rsidR="007D740B">
        <w:t xml:space="preserve">With the many successes of dual enrollment, research has shown unequal access of historically underrepresented students to the many benefits of those participating in the programs </w:t>
      </w:r>
      <w:r w:rsidR="007D740B">
        <w:rPr>
          <w:rFonts w:cs="Times New Roman"/>
          <w:color w:val="000000" w:themeColor="text1"/>
          <w:szCs w:val="24"/>
        </w:rPr>
        <w:t xml:space="preserve">(Taylor et al., 2022). The diverse population growth in the United States </w:t>
      </w:r>
      <w:r w:rsidR="00330C27">
        <w:rPr>
          <w:rFonts w:cs="Times New Roman"/>
          <w:color w:val="000000" w:themeColor="text1"/>
          <w:szCs w:val="24"/>
        </w:rPr>
        <w:t xml:space="preserve">is not reflected in </w:t>
      </w:r>
      <w:r w:rsidR="003E4AD2">
        <w:rPr>
          <w:rFonts w:cs="Times New Roman"/>
          <w:color w:val="000000" w:themeColor="text1"/>
          <w:szCs w:val="24"/>
        </w:rPr>
        <w:t xml:space="preserve">all areas of </w:t>
      </w:r>
      <w:r w:rsidR="00330C27">
        <w:rPr>
          <w:rFonts w:cs="Times New Roman"/>
          <w:color w:val="000000" w:themeColor="text1"/>
          <w:szCs w:val="24"/>
        </w:rPr>
        <w:t xml:space="preserve">higher education </w:t>
      </w:r>
      <w:bookmarkStart w:id="45" w:name="_Hlk207353278"/>
      <w:r w:rsidR="00330C27">
        <w:rPr>
          <w:rFonts w:cs="Times New Roman"/>
          <w:color w:val="000000" w:themeColor="text1"/>
          <w:szCs w:val="24"/>
        </w:rPr>
        <w:t>(Thiem &amp; Dasgupta, 2022).</w:t>
      </w:r>
      <w:r w:rsidR="00AB33B9">
        <w:rPr>
          <w:rFonts w:cs="Times New Roman"/>
          <w:color w:val="000000" w:themeColor="text1"/>
          <w:szCs w:val="24"/>
        </w:rPr>
        <w:t xml:space="preserve"> </w:t>
      </w:r>
      <w:bookmarkEnd w:id="45"/>
      <w:r w:rsidR="00CC6BE6">
        <w:rPr>
          <w:rFonts w:cs="Times New Roman"/>
          <w:color w:val="000000" w:themeColor="text1"/>
          <w:szCs w:val="24"/>
        </w:rPr>
        <w:t xml:space="preserve">Individuals from low-income or working-class families, first-generation college students, and </w:t>
      </w:r>
      <w:r w:rsidR="00CC6BE6">
        <w:rPr>
          <w:rFonts w:cs="Times New Roman"/>
          <w:color w:val="000000" w:themeColor="text1"/>
          <w:szCs w:val="24"/>
        </w:rPr>
        <w:lastRenderedPageBreak/>
        <w:t>members of historically marginalized groups—such as Black, Hispanic, and Indigenous people—remain underrepresented in higher education (Thiem &amp; Dasgupta, 2022).</w:t>
      </w:r>
      <w:r w:rsidR="0020277E">
        <w:rPr>
          <w:rFonts w:cs="Times New Roman"/>
          <w:color w:val="000000" w:themeColor="text1"/>
          <w:szCs w:val="24"/>
        </w:rPr>
        <w:t xml:space="preserve"> Thiem &amp; Dasgu</w:t>
      </w:r>
      <w:r w:rsidR="00876052">
        <w:rPr>
          <w:rFonts w:cs="Times New Roman"/>
          <w:color w:val="000000" w:themeColor="text1"/>
          <w:szCs w:val="24"/>
        </w:rPr>
        <w:t>pta (2022) related a common underlying cause can begin in elementary and secondary education. They noted since municipal property taxes in the United States are used to fund K-12 schools, affluent neighborhoods with high-value residential and commercial properties contribute to a larger tax base, thus larger support for the public schools (Thiem &amp; Dasgupta, 2022). Communities with lower tax revenues may result in less funding that can result in larger classes, fewer qualified teachers, fewer advanced placement courses, less enrichment programs, dilapidated facilities and classrooms, in turn, setting the stage for continuous hurdles in an already barriered educational opportunity (Thiem &amp; Dasgupta, 2022).</w:t>
      </w:r>
      <w:r w:rsidR="003F4B9F">
        <w:rPr>
          <w:rFonts w:cs="Times New Roman"/>
          <w:color w:val="000000" w:themeColor="text1"/>
          <w:szCs w:val="24"/>
        </w:rPr>
        <w:t xml:space="preserve"> </w:t>
      </w:r>
      <w:r w:rsidR="00D850CD">
        <w:rPr>
          <w:rFonts w:cs="Times New Roman"/>
          <w:color w:val="000000" w:themeColor="text1"/>
          <w:szCs w:val="24"/>
        </w:rPr>
        <w:t xml:space="preserve">Cultural mismatch, teacher biases, low instructor expectations, and negative academic stereotypes can contribute to the long list of barriers and can often be interrelated and compounding, especially for historically marginalized groups during transitional periods. (Thiem &amp; Dasgupta, 2022). Barriers </w:t>
      </w:r>
      <w:r w:rsidR="00DC2D36">
        <w:rPr>
          <w:rFonts w:cs="Times New Roman"/>
          <w:color w:val="000000" w:themeColor="text1"/>
          <w:szCs w:val="24"/>
        </w:rPr>
        <w:t xml:space="preserve">to college </w:t>
      </w:r>
      <w:r w:rsidR="00D850CD">
        <w:rPr>
          <w:rFonts w:cs="Times New Roman"/>
          <w:color w:val="000000" w:themeColor="text1"/>
          <w:szCs w:val="24"/>
        </w:rPr>
        <w:t xml:space="preserve">may </w:t>
      </w:r>
      <w:r w:rsidR="00000A0C">
        <w:rPr>
          <w:rFonts w:cs="Times New Roman"/>
          <w:color w:val="000000" w:themeColor="text1"/>
          <w:szCs w:val="24"/>
        </w:rPr>
        <w:t xml:space="preserve">also </w:t>
      </w:r>
      <w:r w:rsidR="00D850CD">
        <w:rPr>
          <w:rFonts w:cs="Times New Roman"/>
          <w:color w:val="000000" w:themeColor="text1"/>
          <w:szCs w:val="24"/>
        </w:rPr>
        <w:t xml:space="preserve">include insufficient social capital—probably most evident in first-generation college students—as well as negative academic stereotypes (Thiem &amp; Dasgupta, 2022). </w:t>
      </w:r>
      <w:r w:rsidR="003F4B9F">
        <w:rPr>
          <w:rFonts w:cs="Times New Roman"/>
          <w:color w:val="000000" w:themeColor="text1"/>
          <w:szCs w:val="24"/>
        </w:rPr>
        <w:t xml:space="preserve">Additional </w:t>
      </w:r>
      <w:r w:rsidR="003F4B9F">
        <w:rPr>
          <w:rFonts w:eastAsia="Times New Roman" w:cs="Times New Roman"/>
          <w:color w:val="000000" w:themeColor="text1"/>
          <w:spacing w:val="3"/>
          <w:szCs w:val="24"/>
        </w:rPr>
        <w:t>r</w:t>
      </w:r>
      <w:r w:rsidR="003F4B9F" w:rsidRPr="008F2D75">
        <w:rPr>
          <w:rFonts w:eastAsia="Times New Roman" w:cs="Times New Roman"/>
          <w:color w:val="000000" w:themeColor="text1"/>
          <w:spacing w:val="3"/>
          <w:szCs w:val="24"/>
        </w:rPr>
        <w:t>oot causes identified include lack of advising and support, lack of awareness, and financial constraints</w:t>
      </w:r>
      <w:r w:rsidR="003F4B9F">
        <w:rPr>
          <w:rFonts w:eastAsia="Times New Roman" w:cs="Times New Roman"/>
          <w:color w:val="000000" w:themeColor="text1"/>
          <w:spacing w:val="3"/>
          <w:szCs w:val="24"/>
        </w:rPr>
        <w:t xml:space="preserve"> </w:t>
      </w:r>
      <w:r w:rsidR="003F4B9F" w:rsidRPr="008F2D75">
        <w:rPr>
          <w:rFonts w:eastAsia="Times New Roman" w:cs="Times New Roman"/>
          <w:color w:val="000000" w:themeColor="text1"/>
          <w:spacing w:val="3"/>
          <w:szCs w:val="24"/>
        </w:rPr>
        <w:t>(</w:t>
      </w:r>
      <w:r w:rsidR="003F4B9F">
        <w:rPr>
          <w:rFonts w:eastAsia="Times New Roman" w:cs="Times New Roman"/>
          <w:color w:val="000000" w:themeColor="text1"/>
          <w:spacing w:val="3"/>
          <w:szCs w:val="24"/>
        </w:rPr>
        <w:t>Lee &amp; Villarreal, 2023</w:t>
      </w:r>
      <w:r w:rsidR="003E4AD2">
        <w:rPr>
          <w:rFonts w:eastAsia="Times New Roman" w:cs="Times New Roman"/>
          <w:color w:val="000000" w:themeColor="text1"/>
          <w:spacing w:val="3"/>
          <w:szCs w:val="24"/>
        </w:rPr>
        <w:t>; Mann</w:t>
      </w:r>
      <w:r w:rsidR="003E4AD2" w:rsidRPr="008F2D75">
        <w:rPr>
          <w:rFonts w:eastAsia="Times New Roman" w:cs="Times New Roman"/>
          <w:color w:val="000000" w:themeColor="text1"/>
          <w:spacing w:val="3"/>
          <w:szCs w:val="24"/>
        </w:rPr>
        <w:t>, 202</w:t>
      </w:r>
      <w:r w:rsidR="003E4AD2">
        <w:rPr>
          <w:rFonts w:eastAsia="Times New Roman" w:cs="Times New Roman"/>
          <w:color w:val="000000" w:themeColor="text1"/>
          <w:spacing w:val="3"/>
          <w:szCs w:val="24"/>
        </w:rPr>
        <w:t>3</w:t>
      </w:r>
      <w:r w:rsidR="003F4B9F" w:rsidRPr="008F2D75">
        <w:rPr>
          <w:rFonts w:eastAsia="Times New Roman" w:cs="Times New Roman"/>
          <w:color w:val="000000" w:themeColor="text1"/>
          <w:spacing w:val="3"/>
          <w:szCs w:val="24"/>
        </w:rPr>
        <w:t>), all of which contribute to lower participation rates for Black and Latinx students compared with their White and Asian peers (</w:t>
      </w:r>
      <w:r w:rsidR="003F4B9F">
        <w:rPr>
          <w:rFonts w:eastAsia="Times New Roman" w:cs="Times New Roman"/>
          <w:color w:val="000000" w:themeColor="text1"/>
          <w:spacing w:val="3"/>
          <w:szCs w:val="24"/>
        </w:rPr>
        <w:t>Lee &amp; Villarreal, 2023</w:t>
      </w:r>
      <w:r w:rsidR="003F4B9F" w:rsidRPr="008F2D75">
        <w:rPr>
          <w:rFonts w:eastAsia="Times New Roman" w:cs="Times New Roman"/>
          <w:color w:val="000000" w:themeColor="text1"/>
          <w:spacing w:val="3"/>
          <w:szCs w:val="24"/>
        </w:rPr>
        <w:t>).</w:t>
      </w:r>
    </w:p>
    <w:p w14:paraId="61617280" w14:textId="5747AAE0" w:rsidR="009C65D6" w:rsidRDefault="00FF40B8" w:rsidP="000C0E0B">
      <w:pPr>
        <w:ind w:firstLine="720"/>
        <w:rPr>
          <w:rFonts w:cs="Times New Roman"/>
          <w:color w:val="000000" w:themeColor="text1"/>
          <w:szCs w:val="24"/>
        </w:rPr>
      </w:pPr>
      <w:r>
        <w:rPr>
          <w:rFonts w:eastAsia="Times New Roman" w:cs="Times New Roman"/>
          <w:color w:val="000000" w:themeColor="text1"/>
          <w:spacing w:val="3"/>
          <w:szCs w:val="24"/>
        </w:rPr>
        <w:t>According to Fink (2024), almost 2.5 million high school students enrolled in at least one dual enrollment course at a college or university during the 2022-2023 academic year</w:t>
      </w:r>
      <w:r w:rsidR="00752A90">
        <w:rPr>
          <w:rFonts w:eastAsia="Times New Roman" w:cs="Times New Roman"/>
          <w:color w:val="000000" w:themeColor="text1"/>
          <w:spacing w:val="3"/>
          <w:szCs w:val="24"/>
        </w:rPr>
        <w:t xml:space="preserve"> with</w:t>
      </w:r>
      <w:r>
        <w:rPr>
          <w:rFonts w:eastAsia="Times New Roman" w:cs="Times New Roman"/>
          <w:color w:val="000000" w:themeColor="text1"/>
          <w:spacing w:val="3"/>
          <w:szCs w:val="24"/>
        </w:rPr>
        <w:t xml:space="preserve"> </w:t>
      </w:r>
      <w:r w:rsidR="00752A90">
        <w:rPr>
          <w:rFonts w:eastAsia="Times New Roman" w:cs="Times New Roman"/>
          <w:color w:val="000000" w:themeColor="text1"/>
          <w:spacing w:val="3"/>
          <w:szCs w:val="24"/>
        </w:rPr>
        <w:t>c</w:t>
      </w:r>
      <w:r>
        <w:rPr>
          <w:rFonts w:eastAsia="Times New Roman" w:cs="Times New Roman"/>
          <w:color w:val="000000" w:themeColor="text1"/>
          <w:spacing w:val="3"/>
          <w:szCs w:val="24"/>
        </w:rPr>
        <w:t xml:space="preserve">ommunity college </w:t>
      </w:r>
      <w:r w:rsidR="00752A90">
        <w:rPr>
          <w:rFonts w:eastAsia="Times New Roman" w:cs="Times New Roman"/>
          <w:color w:val="000000" w:themeColor="text1"/>
          <w:spacing w:val="3"/>
          <w:szCs w:val="24"/>
        </w:rPr>
        <w:t xml:space="preserve">dual enrollment </w:t>
      </w:r>
      <w:r w:rsidR="004676F5">
        <w:rPr>
          <w:rFonts w:eastAsia="Times New Roman" w:cs="Times New Roman"/>
          <w:color w:val="000000" w:themeColor="text1"/>
          <w:spacing w:val="3"/>
          <w:szCs w:val="24"/>
        </w:rPr>
        <w:t>at</w:t>
      </w:r>
      <w:r w:rsidR="00752A90">
        <w:rPr>
          <w:rFonts w:eastAsia="Times New Roman" w:cs="Times New Roman"/>
          <w:color w:val="000000" w:themeColor="text1"/>
          <w:spacing w:val="3"/>
          <w:szCs w:val="24"/>
        </w:rPr>
        <w:t xml:space="preserve"> 1.78 million, representing 21% of total undergraduate enrollment.</w:t>
      </w:r>
      <w:r w:rsidR="004676F5">
        <w:rPr>
          <w:rFonts w:eastAsia="Times New Roman" w:cs="Times New Roman"/>
          <w:color w:val="000000" w:themeColor="text1"/>
          <w:spacing w:val="3"/>
          <w:szCs w:val="24"/>
        </w:rPr>
        <w:t xml:space="preserve"> Research indicated that approximately 70% of dual enrollment </w:t>
      </w:r>
      <w:r w:rsidR="004676F5">
        <w:rPr>
          <w:rFonts w:eastAsia="Times New Roman" w:cs="Times New Roman"/>
          <w:color w:val="000000" w:themeColor="text1"/>
          <w:spacing w:val="3"/>
          <w:szCs w:val="24"/>
        </w:rPr>
        <w:lastRenderedPageBreak/>
        <w:t xml:space="preserve">courses were offered through community colleges (CCRC, 2024). </w:t>
      </w:r>
      <w:r w:rsidR="00752A90">
        <w:rPr>
          <w:rFonts w:eastAsia="Times New Roman" w:cs="Times New Roman"/>
          <w:color w:val="000000" w:themeColor="text1"/>
          <w:spacing w:val="3"/>
          <w:szCs w:val="24"/>
        </w:rPr>
        <w:t xml:space="preserve">Although there were notable variations in dual enrollment between states, 37 community colleges </w:t>
      </w:r>
      <w:r w:rsidR="004676F5">
        <w:rPr>
          <w:rFonts w:eastAsia="Times New Roman" w:cs="Times New Roman"/>
          <w:color w:val="000000" w:themeColor="text1"/>
          <w:spacing w:val="3"/>
          <w:szCs w:val="24"/>
        </w:rPr>
        <w:t>across the</w:t>
      </w:r>
      <w:r w:rsidR="00752A90">
        <w:rPr>
          <w:rFonts w:eastAsia="Times New Roman" w:cs="Times New Roman"/>
          <w:color w:val="000000" w:themeColor="text1"/>
          <w:spacing w:val="3"/>
          <w:szCs w:val="24"/>
        </w:rPr>
        <w:t xml:space="preserve"> United States</w:t>
      </w:r>
      <w:r w:rsidR="006D0CAD">
        <w:rPr>
          <w:rFonts w:eastAsia="Times New Roman" w:cs="Times New Roman"/>
          <w:color w:val="000000" w:themeColor="text1"/>
          <w:spacing w:val="3"/>
          <w:szCs w:val="24"/>
        </w:rPr>
        <w:t xml:space="preserve"> had at least 50% of their enrollment contributed to dual enrollment students (Fink, 2024). Hispanic or Latino students made up 20% of dual enrollment, while Black and Hispanic students made up 8%, making them underrepresented nationally (Fink, 2024). Fink (2024) reported that men were underrepresented nationally at 43%. About 900,000 or </w:t>
      </w:r>
      <w:r w:rsidR="000F0ED2">
        <w:rPr>
          <w:rFonts w:eastAsia="Times New Roman" w:cs="Times New Roman"/>
          <w:color w:val="000000" w:themeColor="text1"/>
          <w:spacing w:val="3"/>
          <w:szCs w:val="24"/>
        </w:rPr>
        <w:t xml:space="preserve">one-third </w:t>
      </w:r>
      <w:r w:rsidR="006D0CAD">
        <w:rPr>
          <w:rFonts w:eastAsia="Times New Roman" w:cs="Times New Roman"/>
          <w:color w:val="000000" w:themeColor="text1"/>
          <w:spacing w:val="3"/>
          <w:szCs w:val="24"/>
        </w:rPr>
        <w:t xml:space="preserve">of dual enrollment students </w:t>
      </w:r>
      <w:r w:rsidR="008C13BF">
        <w:rPr>
          <w:rFonts w:eastAsia="Times New Roman" w:cs="Times New Roman"/>
          <w:color w:val="000000" w:themeColor="text1"/>
          <w:spacing w:val="3"/>
          <w:szCs w:val="24"/>
        </w:rPr>
        <w:t>was</w:t>
      </w:r>
      <w:r w:rsidR="006D0CAD">
        <w:rPr>
          <w:rFonts w:eastAsia="Times New Roman" w:cs="Times New Roman"/>
          <w:color w:val="000000" w:themeColor="text1"/>
          <w:spacing w:val="3"/>
          <w:szCs w:val="24"/>
        </w:rPr>
        <w:t xml:space="preserve"> recorded in the top 5 states for dual enrollment, which included California, Texas, New York, Indiana, and Florida (Fink, 2024).</w:t>
      </w:r>
      <w:r w:rsidR="008C13BF">
        <w:rPr>
          <w:rFonts w:eastAsia="Times New Roman" w:cs="Times New Roman"/>
          <w:color w:val="000000" w:themeColor="text1"/>
          <w:spacing w:val="3"/>
          <w:szCs w:val="24"/>
        </w:rPr>
        <w:t xml:space="preserve"> IPEDS data revealed the largest representation of Black dual enrollment students were in Texas, Florida, and Georgia w</w:t>
      </w:r>
      <w:r w:rsidR="008C40CC">
        <w:rPr>
          <w:rFonts w:eastAsia="Times New Roman" w:cs="Times New Roman"/>
          <w:color w:val="000000" w:themeColor="text1"/>
          <w:spacing w:val="3"/>
          <w:szCs w:val="24"/>
        </w:rPr>
        <w:t>hile</w:t>
      </w:r>
      <w:r w:rsidR="008C13BF">
        <w:rPr>
          <w:rFonts w:eastAsia="Times New Roman" w:cs="Times New Roman"/>
          <w:color w:val="000000" w:themeColor="text1"/>
          <w:spacing w:val="3"/>
          <w:szCs w:val="24"/>
        </w:rPr>
        <w:t xml:space="preserve"> California, Texas, and Florida show</w:t>
      </w:r>
      <w:r w:rsidR="008C40CC">
        <w:rPr>
          <w:rFonts w:eastAsia="Times New Roman" w:cs="Times New Roman"/>
          <w:color w:val="000000" w:themeColor="text1"/>
          <w:spacing w:val="3"/>
          <w:szCs w:val="24"/>
        </w:rPr>
        <w:t>ed</w:t>
      </w:r>
      <w:r w:rsidR="008C13BF">
        <w:rPr>
          <w:rFonts w:eastAsia="Times New Roman" w:cs="Times New Roman"/>
          <w:color w:val="000000" w:themeColor="text1"/>
          <w:spacing w:val="3"/>
          <w:szCs w:val="24"/>
        </w:rPr>
        <w:t xml:space="preserve"> the largest </w:t>
      </w:r>
      <w:r w:rsidR="000F0ED2">
        <w:rPr>
          <w:rFonts w:eastAsia="Times New Roman" w:cs="Times New Roman"/>
          <w:color w:val="000000" w:themeColor="text1"/>
          <w:spacing w:val="3"/>
          <w:szCs w:val="24"/>
        </w:rPr>
        <w:t>number</w:t>
      </w:r>
      <w:r w:rsidR="008C13BF">
        <w:rPr>
          <w:rFonts w:eastAsia="Times New Roman" w:cs="Times New Roman"/>
          <w:color w:val="000000" w:themeColor="text1"/>
          <w:spacing w:val="3"/>
          <w:szCs w:val="24"/>
        </w:rPr>
        <w:t xml:space="preserve"> of Hispanic or Latino dual enrollment students (Fink, 2024).  </w:t>
      </w:r>
    </w:p>
    <w:p w14:paraId="26D16054" w14:textId="70F7CBED" w:rsidR="00BE6FB6" w:rsidRDefault="003F4B9F" w:rsidP="00C00EA3">
      <w:pPr>
        <w:ind w:firstLine="720"/>
        <w:rPr>
          <w:rFonts w:cs="Times New Roman"/>
          <w:color w:val="000000" w:themeColor="text1"/>
          <w:szCs w:val="24"/>
        </w:rPr>
      </w:pPr>
      <w:r>
        <w:rPr>
          <w:rFonts w:eastAsia="Times New Roman" w:cs="Times New Roman"/>
          <w:color w:val="000000" w:themeColor="text1"/>
          <w:spacing w:val="3"/>
          <w:szCs w:val="24"/>
        </w:rPr>
        <w:t xml:space="preserve">The expansion of dual enrollment growth has arguably had the greatest significant impact on students’ access to college-level education and their chances for high-quality learning and development </w:t>
      </w:r>
      <w:r>
        <w:rPr>
          <w:rFonts w:cs="Times New Roman"/>
          <w:color w:val="000000" w:themeColor="text1"/>
          <w:szCs w:val="24"/>
        </w:rPr>
        <w:t xml:space="preserve">(Taylor et al., 2022). </w:t>
      </w:r>
      <w:r w:rsidRPr="008F2D75">
        <w:rPr>
          <w:rFonts w:eastAsia="Times New Roman" w:cs="Times New Roman"/>
          <w:color w:val="000000" w:themeColor="text1"/>
          <w:spacing w:val="3"/>
          <w:szCs w:val="24"/>
        </w:rPr>
        <w:t>Disparities in access</w:t>
      </w:r>
      <w:r>
        <w:rPr>
          <w:rFonts w:eastAsia="Times New Roman" w:cs="Times New Roman"/>
          <w:color w:val="000000" w:themeColor="text1"/>
          <w:spacing w:val="3"/>
          <w:szCs w:val="24"/>
        </w:rPr>
        <w:t xml:space="preserve"> and affordability</w:t>
      </w:r>
      <w:r w:rsidRPr="008F2D75">
        <w:rPr>
          <w:rFonts w:eastAsia="Times New Roman" w:cs="Times New Roman"/>
          <w:color w:val="000000" w:themeColor="text1"/>
          <w:spacing w:val="3"/>
          <w:szCs w:val="24"/>
        </w:rPr>
        <w:t xml:space="preserve"> to dual enrollment opportunities persist, especially amon</w:t>
      </w:r>
      <w:r w:rsidR="00D7408A">
        <w:rPr>
          <w:rFonts w:eastAsia="Times New Roman" w:cs="Times New Roman"/>
          <w:color w:val="000000" w:themeColor="text1"/>
          <w:spacing w:val="3"/>
          <w:szCs w:val="24"/>
        </w:rPr>
        <w:t>g</w:t>
      </w:r>
      <w:r w:rsidRPr="008F2D75">
        <w:rPr>
          <w:rFonts w:eastAsia="Times New Roman" w:cs="Times New Roman"/>
          <w:color w:val="000000" w:themeColor="text1"/>
          <w:spacing w:val="3"/>
          <w:szCs w:val="24"/>
        </w:rPr>
        <w:t xml:space="preserve"> underrepresented and low-income student populations</w:t>
      </w:r>
      <w:r>
        <w:rPr>
          <w:rFonts w:eastAsia="Times New Roman" w:cs="Times New Roman"/>
          <w:color w:val="000000" w:themeColor="text1"/>
          <w:spacing w:val="3"/>
          <w:szCs w:val="24"/>
        </w:rPr>
        <w:t xml:space="preserve"> (Ganga, </w:t>
      </w:r>
      <w:r w:rsidRPr="00565042">
        <w:rPr>
          <w:rFonts w:eastAsia="Times New Roman" w:cs="Times New Roman"/>
          <w:color w:val="000000" w:themeColor="text1"/>
          <w:spacing w:val="3"/>
          <w:szCs w:val="24"/>
        </w:rPr>
        <w:t>2024</w:t>
      </w:r>
      <w:r>
        <w:rPr>
          <w:rFonts w:eastAsia="Times New Roman" w:cs="Times New Roman"/>
          <w:color w:val="000000" w:themeColor="text1"/>
          <w:spacing w:val="3"/>
          <w:szCs w:val="24"/>
        </w:rPr>
        <w:t>; Lee &amp; Villarreal, 2023)</w:t>
      </w:r>
      <w:r w:rsidRPr="008F2D75">
        <w:rPr>
          <w:rFonts w:eastAsia="Times New Roman" w:cs="Times New Roman"/>
          <w:color w:val="000000" w:themeColor="text1"/>
          <w:spacing w:val="3"/>
          <w:szCs w:val="24"/>
        </w:rPr>
        <w:t xml:space="preserve">. Addressing these equity issues is critical to ensure </w:t>
      </w:r>
      <w:r>
        <w:rPr>
          <w:rFonts w:eastAsia="Times New Roman" w:cs="Times New Roman"/>
          <w:color w:val="000000" w:themeColor="text1"/>
          <w:spacing w:val="3"/>
          <w:szCs w:val="24"/>
        </w:rPr>
        <w:t xml:space="preserve">access so </w:t>
      </w:r>
      <w:r w:rsidRPr="008F2D75">
        <w:rPr>
          <w:rFonts w:eastAsia="Times New Roman" w:cs="Times New Roman"/>
          <w:color w:val="000000" w:themeColor="text1"/>
          <w:spacing w:val="3"/>
          <w:szCs w:val="24"/>
        </w:rPr>
        <w:t>that all students can benefit from the advantages that dual enrollment programs offer</w:t>
      </w:r>
      <w:r>
        <w:rPr>
          <w:rFonts w:eastAsia="Times New Roman" w:cs="Times New Roman"/>
          <w:color w:val="000000" w:themeColor="text1"/>
          <w:spacing w:val="3"/>
          <w:szCs w:val="24"/>
        </w:rPr>
        <w:t>, not just the high-achieving (Fink &amp; Jenkins, 2023; Jones, 2014; Zinth &amp; Barnett, 2018)</w:t>
      </w:r>
      <w:r w:rsidRPr="008F2D75">
        <w:rPr>
          <w:rFonts w:eastAsia="Times New Roman" w:cs="Times New Roman"/>
          <w:color w:val="000000" w:themeColor="text1"/>
          <w:spacing w:val="3"/>
          <w:szCs w:val="24"/>
        </w:rPr>
        <w:t>.</w:t>
      </w:r>
      <w:r>
        <w:rPr>
          <w:rFonts w:eastAsia="Times New Roman" w:cs="Times New Roman"/>
          <w:color w:val="000000" w:themeColor="text1"/>
          <w:spacing w:val="3"/>
          <w:szCs w:val="24"/>
        </w:rPr>
        <w:t xml:space="preserve"> </w:t>
      </w:r>
      <w:r>
        <w:rPr>
          <w:rFonts w:cs="Times New Roman"/>
          <w:color w:val="000000" w:themeColor="text1"/>
          <w:szCs w:val="24"/>
        </w:rPr>
        <w:t>The cumulative benefits of increasing college access could result in more Americans earning college degrees who can support their local economies and communities (Taylor et al., 2022).</w:t>
      </w:r>
    </w:p>
    <w:p w14:paraId="07A4B0E0" w14:textId="428FEF94" w:rsidR="00ED0221" w:rsidRDefault="00FF34FE" w:rsidP="00C00EA3">
      <w:pPr>
        <w:ind w:firstLine="720"/>
        <w:rPr>
          <w:rFonts w:cs="Times New Roman"/>
          <w:color w:val="000000" w:themeColor="text1"/>
          <w:szCs w:val="24"/>
        </w:rPr>
      </w:pPr>
      <w:r w:rsidRPr="00ED0221">
        <w:rPr>
          <w:rFonts w:cs="Times New Roman"/>
          <w:color w:val="000000" w:themeColor="text1"/>
          <w:szCs w:val="24"/>
        </w:rPr>
        <w:t>The academic eligibility requirements</w:t>
      </w:r>
      <w:r w:rsidR="00116B95" w:rsidRPr="00ED0221">
        <w:rPr>
          <w:rFonts w:cs="Times New Roman"/>
          <w:color w:val="000000" w:themeColor="text1"/>
          <w:szCs w:val="24"/>
        </w:rPr>
        <w:t xml:space="preserve"> can be a </w:t>
      </w:r>
      <w:r w:rsidR="00B117B2" w:rsidRPr="00ED0221">
        <w:rPr>
          <w:rFonts w:cs="Times New Roman"/>
          <w:color w:val="000000" w:themeColor="text1"/>
          <w:szCs w:val="24"/>
        </w:rPr>
        <w:t xml:space="preserve">significant </w:t>
      </w:r>
      <w:r w:rsidR="00116B95" w:rsidRPr="00ED0221">
        <w:rPr>
          <w:rFonts w:cs="Times New Roman"/>
          <w:color w:val="000000" w:themeColor="text1"/>
          <w:szCs w:val="24"/>
        </w:rPr>
        <w:t>barrier to many</w:t>
      </w:r>
      <w:r w:rsidR="00B117B2" w:rsidRPr="00ED0221">
        <w:rPr>
          <w:rFonts w:cs="Times New Roman"/>
          <w:color w:val="000000" w:themeColor="text1"/>
          <w:szCs w:val="24"/>
        </w:rPr>
        <w:t xml:space="preserve"> (Fink et al., 2022)</w:t>
      </w:r>
      <w:r w:rsidR="00116B95" w:rsidRPr="00ED0221">
        <w:rPr>
          <w:rFonts w:cs="Times New Roman"/>
          <w:color w:val="000000" w:themeColor="text1"/>
          <w:szCs w:val="24"/>
        </w:rPr>
        <w:t xml:space="preserve">. </w:t>
      </w:r>
      <w:r w:rsidR="000F0ED2">
        <w:rPr>
          <w:rFonts w:cs="Times New Roman"/>
          <w:color w:val="000000" w:themeColor="text1"/>
          <w:szCs w:val="24"/>
        </w:rPr>
        <w:t>According to Fink et al. (2022) p</w:t>
      </w:r>
      <w:r w:rsidR="008C40CC" w:rsidRPr="00ED0221">
        <w:rPr>
          <w:rFonts w:cs="Times New Roman"/>
          <w:color w:val="000000" w:themeColor="text1"/>
          <w:szCs w:val="24"/>
        </w:rPr>
        <w:t>lacement</w:t>
      </w:r>
      <w:r w:rsidR="008C40CC">
        <w:rPr>
          <w:rFonts w:cs="Times New Roman"/>
          <w:color w:val="000000" w:themeColor="text1"/>
          <w:szCs w:val="24"/>
        </w:rPr>
        <w:t xml:space="preserve"> rules must prioritize diversity and be supported </w:t>
      </w:r>
      <w:r w:rsidR="008C40CC">
        <w:rPr>
          <w:rFonts w:cs="Times New Roman"/>
          <w:color w:val="000000" w:themeColor="text1"/>
          <w:szCs w:val="24"/>
        </w:rPr>
        <w:lastRenderedPageBreak/>
        <w:t>by initiatives to expand outreach to underrepresented populations, provide academic advising support, and employ high-quality instruction if they are to fulfill their potential in promoting equity in dual enrollment.</w:t>
      </w:r>
      <w:r w:rsidR="000F0ED2">
        <w:rPr>
          <w:rFonts w:cs="Times New Roman"/>
          <w:color w:val="000000" w:themeColor="text1"/>
          <w:szCs w:val="24"/>
        </w:rPr>
        <w:t xml:space="preserve"> </w:t>
      </w:r>
      <w:r w:rsidR="00116B95" w:rsidRPr="00ED0221">
        <w:rPr>
          <w:rFonts w:cs="Times New Roman"/>
          <w:color w:val="000000" w:themeColor="text1"/>
          <w:szCs w:val="24"/>
        </w:rPr>
        <w:t xml:space="preserve">The academic eligibility requirements </w:t>
      </w:r>
      <w:r w:rsidRPr="00ED0221">
        <w:rPr>
          <w:rFonts w:cs="Times New Roman"/>
          <w:color w:val="000000" w:themeColor="text1"/>
          <w:szCs w:val="24"/>
        </w:rPr>
        <w:t>for participation in a dual enrollment program were the same as the admission standards for college students</w:t>
      </w:r>
      <w:r w:rsidR="00116B95" w:rsidRPr="00ED0221">
        <w:rPr>
          <w:rFonts w:cs="Times New Roman"/>
          <w:color w:val="000000" w:themeColor="text1"/>
          <w:szCs w:val="24"/>
        </w:rPr>
        <w:t xml:space="preserve"> among</w:t>
      </w:r>
      <w:r w:rsidRPr="00ED0221">
        <w:rPr>
          <w:rFonts w:cs="Times New Roman"/>
          <w:color w:val="000000" w:themeColor="text1"/>
          <w:szCs w:val="24"/>
        </w:rPr>
        <w:t xml:space="preserve"> forty-six percent </w:t>
      </w:r>
      <w:r w:rsidR="00116B95" w:rsidRPr="00ED0221">
        <w:rPr>
          <w:rFonts w:cs="Times New Roman"/>
          <w:color w:val="000000" w:themeColor="text1"/>
          <w:szCs w:val="24"/>
        </w:rPr>
        <w:t xml:space="preserve">of </w:t>
      </w:r>
      <w:r w:rsidRPr="00ED0221">
        <w:rPr>
          <w:rFonts w:cs="Times New Roman"/>
          <w:color w:val="000000" w:themeColor="text1"/>
          <w:szCs w:val="24"/>
        </w:rPr>
        <w:t>postsecondary institutions across the Unites States (Marken et al., 2013).</w:t>
      </w:r>
      <w:r w:rsidR="004F70D0" w:rsidRPr="00ED0221">
        <w:rPr>
          <w:rFonts w:cs="Times New Roman"/>
          <w:color w:val="000000" w:themeColor="text1"/>
          <w:szCs w:val="24"/>
        </w:rPr>
        <w:t xml:space="preserve"> In</w:t>
      </w:r>
      <w:r w:rsidR="004F70D0">
        <w:rPr>
          <w:rFonts w:cs="Times New Roman"/>
          <w:color w:val="000000" w:themeColor="text1"/>
          <w:szCs w:val="24"/>
        </w:rPr>
        <w:t xml:space="preserve"> order for high school students to participate in a dual enrollment program, </w:t>
      </w:r>
      <w:r w:rsidR="000F0ED2">
        <w:rPr>
          <w:rFonts w:cs="Times New Roman"/>
          <w:color w:val="000000" w:themeColor="text1"/>
          <w:szCs w:val="24"/>
        </w:rPr>
        <w:t>60%</w:t>
      </w:r>
      <w:r w:rsidR="004F70D0">
        <w:rPr>
          <w:rFonts w:cs="Times New Roman"/>
          <w:color w:val="000000" w:themeColor="text1"/>
          <w:szCs w:val="24"/>
        </w:rPr>
        <w:t xml:space="preserve"> of institutions reported that a minimum grade point average (GPA) was necessary</w:t>
      </w:r>
      <w:r w:rsidR="00116B95">
        <w:rPr>
          <w:rFonts w:cs="Times New Roman"/>
          <w:color w:val="000000" w:themeColor="text1"/>
          <w:szCs w:val="24"/>
        </w:rPr>
        <w:t>;</w:t>
      </w:r>
      <w:r w:rsidR="004F70D0">
        <w:rPr>
          <w:rFonts w:cs="Times New Roman"/>
          <w:color w:val="000000" w:themeColor="text1"/>
          <w:szCs w:val="24"/>
        </w:rPr>
        <w:t xml:space="preserve"> while </w:t>
      </w:r>
      <w:r w:rsidR="000F0ED2">
        <w:rPr>
          <w:rFonts w:cs="Times New Roman"/>
          <w:color w:val="000000" w:themeColor="text1"/>
          <w:szCs w:val="24"/>
        </w:rPr>
        <w:t>45%</w:t>
      </w:r>
      <w:r w:rsidR="004F70D0">
        <w:rPr>
          <w:rFonts w:cs="Times New Roman"/>
          <w:color w:val="000000" w:themeColor="text1"/>
          <w:szCs w:val="24"/>
        </w:rPr>
        <w:t xml:space="preserve"> percent required passing a college placement test</w:t>
      </w:r>
      <w:r w:rsidR="00116B95">
        <w:rPr>
          <w:rFonts w:cs="Times New Roman"/>
          <w:color w:val="000000" w:themeColor="text1"/>
          <w:szCs w:val="24"/>
        </w:rPr>
        <w:t xml:space="preserve">, </w:t>
      </w:r>
      <w:r w:rsidR="000F0ED2">
        <w:rPr>
          <w:rFonts w:cs="Times New Roman"/>
          <w:color w:val="000000" w:themeColor="text1"/>
          <w:szCs w:val="24"/>
        </w:rPr>
        <w:t>41%</w:t>
      </w:r>
      <w:r w:rsidR="00116B95">
        <w:rPr>
          <w:rFonts w:cs="Times New Roman"/>
          <w:color w:val="000000" w:themeColor="text1"/>
          <w:szCs w:val="24"/>
        </w:rPr>
        <w:t xml:space="preserve"> percent required a letter of recommendation, and forty-three percent required a minimum score on a standardized test (Marken et al., 2013)</w:t>
      </w:r>
      <w:r w:rsidR="003C1E0B">
        <w:rPr>
          <w:rFonts w:cs="Times New Roman"/>
          <w:color w:val="000000" w:themeColor="text1"/>
          <w:szCs w:val="24"/>
        </w:rPr>
        <w:t xml:space="preserve">. </w:t>
      </w:r>
      <w:r w:rsidR="00D8124A">
        <w:rPr>
          <w:rFonts w:cs="Times New Roman"/>
          <w:color w:val="000000" w:themeColor="text1"/>
          <w:szCs w:val="24"/>
        </w:rPr>
        <w:t xml:space="preserve">Student eligibility requirements vary among states and from institution to institution. </w:t>
      </w:r>
    </w:p>
    <w:p w14:paraId="2D233D72" w14:textId="5AC09161" w:rsidR="00FF34FE" w:rsidRPr="00C00EA3" w:rsidRDefault="00D8124A" w:rsidP="00C00EA3">
      <w:pPr>
        <w:ind w:firstLine="720"/>
        <w:rPr>
          <w:rFonts w:cs="Times New Roman"/>
          <w:color w:val="000000" w:themeColor="text1"/>
          <w:szCs w:val="24"/>
        </w:rPr>
      </w:pPr>
      <w:r>
        <w:rPr>
          <w:rFonts w:cs="Times New Roman"/>
          <w:color w:val="000000" w:themeColor="text1"/>
          <w:szCs w:val="24"/>
        </w:rPr>
        <w:t xml:space="preserve">The Education Commission of the States 50-State </w:t>
      </w:r>
      <w:r w:rsidRPr="00D8124A">
        <w:rPr>
          <w:rFonts w:cs="Times New Roman"/>
          <w:color w:val="000000" w:themeColor="text1"/>
          <w:szCs w:val="24"/>
        </w:rPr>
        <w:t>Comparison</w:t>
      </w:r>
      <w:r w:rsidR="004F70D0" w:rsidRPr="00D8124A">
        <w:rPr>
          <w:rFonts w:cs="Times New Roman"/>
          <w:color w:val="000000" w:themeColor="text1"/>
          <w:szCs w:val="24"/>
        </w:rPr>
        <w:t xml:space="preserve"> </w:t>
      </w:r>
      <w:r w:rsidRPr="00D8124A">
        <w:rPr>
          <w:rFonts w:cs="Times New Roman"/>
          <w:color w:val="000000" w:themeColor="text1"/>
          <w:szCs w:val="24"/>
        </w:rPr>
        <w:t>reported student eligibility criteria varied from a minimum of a student in grades 9-12 and permission of a high school official to more stringent requirements of college readiness assessments, institution-specific entrance requirements, course prerequisites, personalized student learning plans, and specialized required for CTE students (Education Commission of the States, 2022).</w:t>
      </w:r>
      <w:r w:rsidR="00D31FF4">
        <w:rPr>
          <w:rFonts w:cs="Times New Roman"/>
          <w:color w:val="000000" w:themeColor="text1"/>
          <w:szCs w:val="24"/>
        </w:rPr>
        <w:t xml:space="preserve"> </w:t>
      </w:r>
      <w:r w:rsidR="0080317F">
        <w:rPr>
          <w:rFonts w:cs="Times New Roman"/>
          <w:color w:val="000000" w:themeColor="text1"/>
          <w:szCs w:val="24"/>
        </w:rPr>
        <w:t xml:space="preserve">With disproportionate effects on low-income students and communities of color, dual enrollment is a possible tool for tackling the pandemic-exacerbated college access and attainment dilemma (Fink et al., 2022). </w:t>
      </w:r>
      <w:r w:rsidR="00E6585E">
        <w:rPr>
          <w:rFonts w:cs="Times New Roman"/>
          <w:color w:val="000000" w:themeColor="text1"/>
          <w:szCs w:val="24"/>
        </w:rPr>
        <w:t xml:space="preserve">Many states made a temporary shift during the Covid-19 pandemic </w:t>
      </w:r>
      <w:r w:rsidR="0080317F">
        <w:rPr>
          <w:rFonts w:cs="Times New Roman"/>
          <w:color w:val="000000" w:themeColor="text1"/>
          <w:szCs w:val="24"/>
        </w:rPr>
        <w:t>for</w:t>
      </w:r>
      <w:r w:rsidR="00E6585E">
        <w:rPr>
          <w:rFonts w:cs="Times New Roman"/>
          <w:color w:val="000000" w:themeColor="text1"/>
          <w:szCs w:val="24"/>
        </w:rPr>
        <w:t xml:space="preserve"> placement test </w:t>
      </w:r>
      <w:r w:rsidR="0080317F">
        <w:rPr>
          <w:rFonts w:cs="Times New Roman"/>
          <w:color w:val="000000" w:themeColor="text1"/>
          <w:szCs w:val="24"/>
        </w:rPr>
        <w:t xml:space="preserve">waivers or special exceptions to policies (Fink et al., 2022). </w:t>
      </w:r>
      <w:r w:rsidR="0080317F" w:rsidRPr="00ED0221">
        <w:rPr>
          <w:rFonts w:cs="Times New Roman"/>
          <w:color w:val="000000" w:themeColor="text1"/>
          <w:szCs w:val="24"/>
        </w:rPr>
        <w:t>Florida and Ohio discovered that the transition from test-based placement to high school grade-based placement increase</w:t>
      </w:r>
      <w:r w:rsidR="008C40CC" w:rsidRPr="00ED0221">
        <w:rPr>
          <w:rFonts w:cs="Times New Roman"/>
          <w:color w:val="000000" w:themeColor="text1"/>
          <w:szCs w:val="24"/>
        </w:rPr>
        <w:t>d</w:t>
      </w:r>
      <w:r w:rsidR="0080317F" w:rsidRPr="00ED0221">
        <w:rPr>
          <w:rFonts w:cs="Times New Roman"/>
          <w:color w:val="000000" w:themeColor="text1"/>
          <w:szCs w:val="24"/>
        </w:rPr>
        <w:t xml:space="preserve"> access without significantly altering students’ course outcomes (Fink et al., 2022).</w:t>
      </w:r>
      <w:r w:rsidR="008C40CC">
        <w:rPr>
          <w:rFonts w:cs="Times New Roman"/>
          <w:color w:val="000000" w:themeColor="text1"/>
          <w:szCs w:val="24"/>
        </w:rPr>
        <w:t xml:space="preserve"> </w:t>
      </w:r>
      <w:r w:rsidR="000F0ED2">
        <w:rPr>
          <w:rFonts w:cs="Times New Roman"/>
          <w:color w:val="000000" w:themeColor="text1"/>
          <w:szCs w:val="24"/>
        </w:rPr>
        <w:t>T</w:t>
      </w:r>
      <w:r w:rsidR="009531D4">
        <w:rPr>
          <w:rFonts w:cs="Times New Roman"/>
          <w:color w:val="000000" w:themeColor="text1"/>
          <w:szCs w:val="24"/>
        </w:rPr>
        <w:t>o increase the advantages of dual enrollment, the state of Ohio passed legislation in 2017 that created the Innovative Programs (IP) policy, which permitted certain high school and college partnerships to waive test-</w:t>
      </w:r>
      <w:r w:rsidR="009531D4">
        <w:rPr>
          <w:rFonts w:cs="Times New Roman"/>
          <w:color w:val="000000" w:themeColor="text1"/>
          <w:szCs w:val="24"/>
        </w:rPr>
        <w:lastRenderedPageBreak/>
        <w:t>based eligibility requirements—a commonly cited obstacle to equitable access—in order to support and expand outreach for students who are underrepresented in the state’s dual enrollment programs (</w:t>
      </w:r>
      <w:r w:rsidR="00F01A56">
        <w:rPr>
          <w:rFonts w:cs="Times New Roman"/>
          <w:color w:val="000000" w:themeColor="text1"/>
          <w:szCs w:val="24"/>
        </w:rPr>
        <w:t xml:space="preserve">Sparks et al., 2024). According to research, the IP approach increased the involvement of Black and Hispanic students, yet resulted in contradictory consequences on post-high school college enrollment, despite the fact that the policy’s adoption improved access without changing course outcomes (Sparks et al., 2024). </w:t>
      </w:r>
      <w:r w:rsidR="00BF453E">
        <w:rPr>
          <w:rFonts w:cs="Times New Roman"/>
          <w:color w:val="000000" w:themeColor="text1"/>
          <w:szCs w:val="24"/>
        </w:rPr>
        <w:t>The f</w:t>
      </w:r>
      <w:r w:rsidR="00F01A56">
        <w:rPr>
          <w:rFonts w:cs="Times New Roman"/>
          <w:color w:val="000000" w:themeColor="text1"/>
          <w:szCs w:val="24"/>
        </w:rPr>
        <w:t xml:space="preserve">inding </w:t>
      </w:r>
      <w:r w:rsidR="000F0ED2">
        <w:rPr>
          <w:rFonts w:cs="Times New Roman"/>
          <w:color w:val="000000" w:themeColor="text1"/>
          <w:szCs w:val="24"/>
        </w:rPr>
        <w:t>pointed to</w:t>
      </w:r>
      <w:r w:rsidR="00F01A56">
        <w:rPr>
          <w:rFonts w:cs="Times New Roman"/>
          <w:color w:val="000000" w:themeColor="text1"/>
          <w:szCs w:val="24"/>
        </w:rPr>
        <w:t xml:space="preserve"> the need for </w:t>
      </w:r>
      <w:r w:rsidR="00686E27">
        <w:rPr>
          <w:rFonts w:cs="Times New Roman"/>
          <w:color w:val="000000" w:themeColor="text1"/>
          <w:szCs w:val="24"/>
        </w:rPr>
        <w:t>sufficient academic, financial, and advising</w:t>
      </w:r>
      <w:r w:rsidR="00BF453E">
        <w:rPr>
          <w:rFonts w:cs="Times New Roman"/>
          <w:color w:val="000000" w:themeColor="text1"/>
          <w:szCs w:val="24"/>
        </w:rPr>
        <w:t xml:space="preserve"> resources to support students’ success both within and outside of dual enrollment courses (Sparks et al., 2024)</w:t>
      </w:r>
      <w:r w:rsidR="00686E27">
        <w:rPr>
          <w:rFonts w:cs="Times New Roman"/>
          <w:color w:val="000000" w:themeColor="text1"/>
          <w:szCs w:val="24"/>
        </w:rPr>
        <w:t xml:space="preserve"> </w:t>
      </w:r>
    </w:p>
    <w:p w14:paraId="5FC69B58" w14:textId="289629C8" w:rsidR="00B1004C" w:rsidRDefault="008474DF" w:rsidP="002433A6">
      <w:pPr>
        <w:ind w:firstLine="720"/>
      </w:pPr>
      <w:r w:rsidRPr="00DC2D36">
        <w:t>Another</w:t>
      </w:r>
      <w:r w:rsidR="00B1004C" w:rsidRPr="00DC2D36">
        <w:t xml:space="preserve"> concern is the potential academic risk for students who are not adequately prepared for college-level </w:t>
      </w:r>
      <w:r w:rsidR="00B1004C" w:rsidRPr="00006A22">
        <w:t>work.</w:t>
      </w:r>
      <w:r w:rsidR="00006A22" w:rsidRPr="00006A22">
        <w:t xml:space="preserve"> Low-income students tend to enter college underprepared academically compared to their higher income peers (Bettinger et al., 2022).</w:t>
      </w:r>
      <w:r w:rsidR="00B1004C" w:rsidRPr="00DC2D36">
        <w:t xml:space="preserve"> Poor performance in a dual enrollment course </w:t>
      </w:r>
      <w:r w:rsidR="00006A22">
        <w:t xml:space="preserve">could </w:t>
      </w:r>
      <w:r w:rsidR="00B1004C" w:rsidRPr="00DC2D36">
        <w:t>result in a permanent college transcript grade, which may negatively affect</w:t>
      </w:r>
      <w:r w:rsidR="00B1004C" w:rsidRPr="002433A6">
        <w:t xml:space="preserve"> a student’s college GPA, financial aid eligibility, or admission to selective institutions (CCRC, 201</w:t>
      </w:r>
      <w:r w:rsidR="00BE4B8C">
        <w:t>2</w:t>
      </w:r>
      <w:r w:rsidR="00B1004C" w:rsidRPr="002433A6">
        <w:t xml:space="preserve">). </w:t>
      </w:r>
      <w:r w:rsidR="00B1004C" w:rsidRPr="00873B30">
        <w:t>In addition, failure in a dual enrollment course may jeopardize high school graduation if the course fulfills a core requirement</w:t>
      </w:r>
      <w:r w:rsidR="00C23409" w:rsidRPr="00873B30">
        <w:t xml:space="preserve"> (F</w:t>
      </w:r>
      <w:r w:rsidR="00EE42EC">
        <w:t xml:space="preserve">lorida </w:t>
      </w:r>
      <w:r w:rsidR="00C23409" w:rsidRPr="00873B30">
        <w:t>D</w:t>
      </w:r>
      <w:r w:rsidR="00EE42EC">
        <w:t>epartment of Education</w:t>
      </w:r>
      <w:r w:rsidR="009A6770">
        <w:t xml:space="preserve"> [FLDOE]</w:t>
      </w:r>
      <w:r w:rsidR="00C23409" w:rsidRPr="00873B30">
        <w:t>, n.d.</w:t>
      </w:r>
      <w:r w:rsidR="00873B30" w:rsidRPr="00873B30">
        <w:t>;</w:t>
      </w:r>
      <w:r w:rsidR="00C23409" w:rsidRPr="00873B30">
        <w:t xml:space="preserve"> </w:t>
      </w:r>
      <w:r w:rsidR="00873B30" w:rsidRPr="00873B30">
        <w:t>TDOE, 2023)</w:t>
      </w:r>
      <w:r w:rsidR="00B1004C" w:rsidRPr="00873B30">
        <w:t>.</w:t>
      </w:r>
      <w:r w:rsidR="00B1004C" w:rsidRPr="002433A6">
        <w:t xml:space="preserve"> </w:t>
      </w:r>
    </w:p>
    <w:p w14:paraId="48B36F0B" w14:textId="42271679" w:rsidR="00B1374A" w:rsidRDefault="00B1374A" w:rsidP="00B1374A">
      <w:pPr>
        <w:ind w:firstLine="720"/>
      </w:pPr>
      <w:r>
        <w:t>Questions about course quality and instructional consistency are also commo</w:t>
      </w:r>
      <w:r w:rsidRPr="00657918">
        <w:t>n. Dual enrollment courses may vary in rigor depending on whether they are taught on the high school campus or at the college, and by whom they are taught (</w:t>
      </w:r>
      <w:r w:rsidR="00657918" w:rsidRPr="00657918">
        <w:t>Ryu et al., 2024</w:t>
      </w:r>
      <w:r w:rsidRPr="00657918">
        <w:t>). Without standardized oversight, the quality and depth of instruction may differ, raising concerns about whether</w:t>
      </w:r>
      <w:r>
        <w:t xml:space="preserve"> students are adequately prepared for future college coursework</w:t>
      </w:r>
      <w:r w:rsidR="00F447E3">
        <w:t xml:space="preserve"> (Ryu et al., 2024)</w:t>
      </w:r>
      <w:r>
        <w:t xml:space="preserve">. </w:t>
      </w:r>
      <w:r w:rsidR="006A78B8">
        <w:rPr>
          <w:rFonts w:eastAsia="Times New Roman" w:cs="Times New Roman"/>
          <w:color w:val="000000" w:themeColor="text1"/>
          <w:spacing w:val="3"/>
          <w:szCs w:val="24"/>
        </w:rPr>
        <w:t xml:space="preserve">Ensuring that these courses maintain the rigor and standards of traditional college classes is essential for their </w:t>
      </w:r>
      <w:r w:rsidR="00890BED">
        <w:rPr>
          <w:rFonts w:eastAsia="Times New Roman" w:cs="Times New Roman"/>
          <w:color w:val="000000" w:themeColor="text1"/>
          <w:spacing w:val="3"/>
          <w:szCs w:val="24"/>
        </w:rPr>
        <w:t>credibility</w:t>
      </w:r>
      <w:r w:rsidR="006A78B8">
        <w:rPr>
          <w:rFonts w:eastAsia="Times New Roman" w:cs="Times New Roman"/>
          <w:color w:val="000000" w:themeColor="text1"/>
          <w:spacing w:val="3"/>
          <w:szCs w:val="24"/>
        </w:rPr>
        <w:t xml:space="preserve"> and effectiveness (CCRC, 201</w:t>
      </w:r>
      <w:r w:rsidR="00BE4B8C">
        <w:rPr>
          <w:rFonts w:eastAsia="Times New Roman" w:cs="Times New Roman"/>
          <w:color w:val="000000" w:themeColor="text1"/>
          <w:spacing w:val="3"/>
          <w:szCs w:val="24"/>
        </w:rPr>
        <w:t>2</w:t>
      </w:r>
      <w:r w:rsidR="006A78B8">
        <w:rPr>
          <w:rFonts w:eastAsia="Times New Roman" w:cs="Times New Roman"/>
          <w:color w:val="000000" w:themeColor="text1"/>
          <w:spacing w:val="3"/>
          <w:szCs w:val="24"/>
        </w:rPr>
        <w:t>).</w:t>
      </w:r>
      <w:r w:rsidR="00026AE9">
        <w:rPr>
          <w:rFonts w:eastAsia="Times New Roman" w:cs="Times New Roman"/>
          <w:color w:val="000000" w:themeColor="text1"/>
          <w:spacing w:val="3"/>
          <w:szCs w:val="24"/>
        </w:rPr>
        <w:t xml:space="preserve"> </w:t>
      </w:r>
    </w:p>
    <w:p w14:paraId="5DEFE012" w14:textId="08162FC8" w:rsidR="002433A6" w:rsidRDefault="00B1374A" w:rsidP="00F71556">
      <w:pPr>
        <w:ind w:firstLine="720"/>
      </w:pPr>
      <w:r>
        <w:lastRenderedPageBreak/>
        <w:t>Another challenge lies in commun</w:t>
      </w:r>
      <w:r w:rsidRPr="00111210">
        <w:t>ication. Ineffective or inconsistent communication among students</w:t>
      </w:r>
      <w:r w:rsidR="00FF2ECD" w:rsidRPr="00111210">
        <w:t xml:space="preserve">, high school </w:t>
      </w:r>
      <w:r w:rsidR="0045018F" w:rsidRPr="00111210">
        <w:t>counselors</w:t>
      </w:r>
      <w:r w:rsidR="00FF2ECD" w:rsidRPr="00111210">
        <w:t>, college advisors, and instructors can cause confusion about academic expectations, credit transferability, and student support services</w:t>
      </w:r>
      <w:r w:rsidR="00291B57" w:rsidRPr="00111210">
        <w:t xml:space="preserve"> </w:t>
      </w:r>
      <w:r w:rsidR="00D4478F" w:rsidRPr="00111210">
        <w:t>(Pretlow &amp; Patteson, 2015).</w:t>
      </w:r>
      <w:r w:rsidR="00FF2ECD" w:rsidRPr="000C0604">
        <w:t xml:space="preserve"> </w:t>
      </w:r>
      <w:r w:rsidR="00CD366B" w:rsidRPr="000C0604">
        <w:t>Considerable concern is raised on the transferability, or lack thereof (</w:t>
      </w:r>
      <w:r w:rsidR="000C0604" w:rsidRPr="000C0604">
        <w:t xml:space="preserve">Pretlow &amp; Patteson, 2015; </w:t>
      </w:r>
      <w:r w:rsidR="00CD366B" w:rsidRPr="000C0604">
        <w:t xml:space="preserve">Taylor et al., 2015). </w:t>
      </w:r>
      <w:r w:rsidR="00FF2ECD" w:rsidRPr="000C0604">
        <w:t>As</w:t>
      </w:r>
      <w:r w:rsidR="00FF2ECD">
        <w:t xml:space="preserve"> </w:t>
      </w:r>
      <w:r w:rsidR="00FE610C" w:rsidRPr="00FE610C">
        <w:t>Mowreader (2023)</w:t>
      </w:r>
      <w:r w:rsidR="00FF2ECD" w:rsidRPr="00FE610C">
        <w:t xml:space="preserve"> </w:t>
      </w:r>
      <w:r w:rsidR="006A5E51" w:rsidRPr="00FE610C">
        <w:t>presented that</w:t>
      </w:r>
      <w:r w:rsidR="00FF2ECD" w:rsidRPr="00FE610C">
        <w:t xml:space="preserve"> many students report </w:t>
      </w:r>
      <w:r w:rsidR="00FE610C" w:rsidRPr="00FE610C">
        <w:t>a</w:t>
      </w:r>
      <w:r w:rsidR="00FF2ECD" w:rsidRPr="00FE610C">
        <w:t xml:space="preserve"> lack of </w:t>
      </w:r>
      <w:r w:rsidR="00FE610C" w:rsidRPr="00FE610C">
        <w:t>awareness of</w:t>
      </w:r>
      <w:r w:rsidR="00FF2ECD" w:rsidRPr="00FE610C">
        <w:t xml:space="preserve"> guidance</w:t>
      </w:r>
      <w:r w:rsidR="00FE610C" w:rsidRPr="00FE610C">
        <w:t xml:space="preserve"> and accurate advising</w:t>
      </w:r>
      <w:r w:rsidR="00FF2ECD" w:rsidRPr="00FE610C">
        <w:t>.</w:t>
      </w:r>
      <w:r w:rsidR="00A17D4D" w:rsidRPr="00FE610C">
        <w:t xml:space="preserve"> Johnson</w:t>
      </w:r>
      <w:r w:rsidR="00A17D4D">
        <w:t xml:space="preserve"> et al.</w:t>
      </w:r>
      <w:r w:rsidR="006A5E51">
        <w:t xml:space="preserve"> </w:t>
      </w:r>
      <w:r w:rsidR="0082462B">
        <w:t>(</w:t>
      </w:r>
      <w:r w:rsidR="006A5E51">
        <w:t>2024)</w:t>
      </w:r>
      <w:r w:rsidR="00A17D4D">
        <w:t xml:space="preserve"> noted that </w:t>
      </w:r>
      <w:r w:rsidR="00B32840">
        <w:t xml:space="preserve">participants </w:t>
      </w:r>
      <w:r w:rsidR="00890BED">
        <w:t>who</w:t>
      </w:r>
      <w:r w:rsidR="00A17D4D">
        <w:t xml:space="preserve"> had taken dual enrollment</w:t>
      </w:r>
      <w:r w:rsidR="00B32840">
        <w:t xml:space="preserve">, particularly first-generation students, </w:t>
      </w:r>
      <w:r w:rsidR="00A17D4D">
        <w:t>had minimal familiarity with college processes such as admissions</w:t>
      </w:r>
      <w:r w:rsidR="00B32840">
        <w:t xml:space="preserve"> and</w:t>
      </w:r>
      <w:r w:rsidR="00A17D4D">
        <w:t xml:space="preserve"> financial aid</w:t>
      </w:r>
      <w:r w:rsidR="00B32840">
        <w:t>, thus presenting gaps in knowledge about the college process.</w:t>
      </w:r>
      <w:r w:rsidR="00055358">
        <w:t xml:space="preserve"> However</w:t>
      </w:r>
      <w:r w:rsidR="008360C9">
        <w:t>, Lile et al. (2018) reported that quality and reliable counseling support at both the high school and community college level</w:t>
      </w:r>
      <w:r w:rsidR="00890BED">
        <w:t>s</w:t>
      </w:r>
      <w:r w:rsidR="008360C9">
        <w:t xml:space="preserve"> contributed to successful navigation of expectations and course demands. </w:t>
      </w:r>
      <w:r w:rsidR="0072189A">
        <w:t xml:space="preserve">Martinez et al. (2018) noted the need for school </w:t>
      </w:r>
      <w:r w:rsidR="0053549E">
        <w:t>leaders’</w:t>
      </w:r>
      <w:r w:rsidR="0072189A">
        <w:t xml:space="preserve"> contribution to the development of more cohesive dual enrollment pathways. </w:t>
      </w:r>
      <w:r w:rsidR="002433A6">
        <w:tab/>
      </w:r>
    </w:p>
    <w:p w14:paraId="440D144C" w14:textId="3F1757B4" w:rsidR="009C65D6" w:rsidRPr="00F71556" w:rsidRDefault="009C65D6" w:rsidP="00F71556">
      <w:pPr>
        <w:ind w:firstLine="720"/>
      </w:pPr>
      <w:r>
        <w:t xml:space="preserve">The expansion of dual enrollment programs has the potential to increase college and career opportunities for high school students nationwide, as evidenced by decades of research showing the favorable </w:t>
      </w:r>
      <w:r w:rsidR="008D146F">
        <w:t>effects</w:t>
      </w:r>
      <w:r>
        <w:t xml:space="preserve"> of dual enrollment curriculum on high school and postsecondary results (Fink, 2024). However, Black, Hispanic, low-income, and other underrepresented populations continue to face barriers to dual enrollment, which keeps these programs from reaching their full potential (Fink, 2024).</w:t>
      </w:r>
    </w:p>
    <w:p w14:paraId="3B91522A" w14:textId="77777777" w:rsidR="00291504" w:rsidRPr="00E3743C" w:rsidRDefault="00291504" w:rsidP="00E3743C">
      <w:pPr>
        <w:pStyle w:val="Heading3"/>
      </w:pPr>
      <w:bookmarkStart w:id="46" w:name="_Toc224458898"/>
      <w:r w:rsidRPr="00291504">
        <w:rPr>
          <w:rFonts w:cs="Times New Roman"/>
        </w:rPr>
        <w:t>Chapter Summary</w:t>
      </w:r>
      <w:bookmarkEnd w:id="46"/>
    </w:p>
    <w:p w14:paraId="5109FC22" w14:textId="77777777" w:rsidR="00A31857" w:rsidRDefault="00291504" w:rsidP="00291504">
      <w:pPr>
        <w:rPr>
          <w:rFonts w:cs="Times New Roman"/>
          <w:szCs w:val="24"/>
        </w:rPr>
      </w:pPr>
      <w:r w:rsidRPr="00291504">
        <w:rPr>
          <w:rFonts w:cs="Times New Roman"/>
          <w:szCs w:val="24"/>
        </w:rPr>
        <w:tab/>
      </w:r>
      <w:r w:rsidR="004B18D8">
        <w:rPr>
          <w:rFonts w:cs="Times New Roman"/>
          <w:szCs w:val="24"/>
        </w:rPr>
        <w:t xml:space="preserve">Chapter 2 </w:t>
      </w:r>
      <w:r w:rsidR="00AC3001">
        <w:rPr>
          <w:rFonts w:cs="Times New Roman"/>
          <w:szCs w:val="24"/>
        </w:rPr>
        <w:t xml:space="preserve">provides </w:t>
      </w:r>
      <w:r w:rsidR="00A31857">
        <w:rPr>
          <w:rFonts w:cs="Times New Roman"/>
          <w:szCs w:val="24"/>
        </w:rPr>
        <w:t xml:space="preserve">a comprehensive review of the literature, focusing on the significance of dual enrollment programs in fostering student success and expediting the college degree attainment process. The research underscores the positive impact of dual enrollment, with Grub et al. (2017) highlighting its efficacy in aiding community college students, steering them away </w:t>
      </w:r>
      <w:r w:rsidR="00A31857">
        <w:rPr>
          <w:rFonts w:cs="Times New Roman"/>
          <w:szCs w:val="24"/>
        </w:rPr>
        <w:lastRenderedPageBreak/>
        <w:t>from remediation and towards more timely completions. The literature review also outlines the conceptual framework for the study, employing Schlossberg’s Transition from high school to higher education, readiness, success, and completion.</w:t>
      </w:r>
    </w:p>
    <w:p w14:paraId="169C3FA7" w14:textId="1D06918A" w:rsidR="00996DFC" w:rsidRDefault="00A31857" w:rsidP="009E0F7A">
      <w:pPr>
        <w:rPr>
          <w:rFonts w:cs="Times New Roman"/>
          <w:szCs w:val="24"/>
        </w:rPr>
      </w:pPr>
      <w:r>
        <w:rPr>
          <w:rFonts w:cs="Times New Roman"/>
          <w:szCs w:val="24"/>
        </w:rPr>
        <w:tab/>
        <w:t>The historical backdrop is explored, tracing the roots of community colleges in the early 20</w:t>
      </w:r>
      <w:r w:rsidRPr="00A31857">
        <w:rPr>
          <w:rFonts w:cs="Times New Roman"/>
          <w:szCs w:val="24"/>
          <w:vertAlign w:val="superscript"/>
        </w:rPr>
        <w:t>th</w:t>
      </w:r>
      <w:r>
        <w:rPr>
          <w:rFonts w:cs="Times New Roman"/>
          <w:szCs w:val="24"/>
        </w:rPr>
        <w:t xml:space="preserve"> century</w:t>
      </w:r>
      <w:r w:rsidR="007F5727">
        <w:rPr>
          <w:rFonts w:cs="Times New Roman"/>
          <w:szCs w:val="24"/>
        </w:rPr>
        <w:t>, propelled by the demand for skilled workers, an extended period of adolescence, and the pursuit of social equality and increased access to higher education. The evolving role of community colleges is discussed in the context of contemporary pressures, including demands for performance and accountability from federal, state, and local entities, as well as the societal, parental, and student expectations for accessible and affordable quality education</w:t>
      </w:r>
      <w:r w:rsidR="007F5727" w:rsidRPr="00E63DF0">
        <w:rPr>
          <w:rFonts w:cs="Times New Roman"/>
          <w:szCs w:val="24"/>
        </w:rPr>
        <w:t xml:space="preserve">. </w:t>
      </w:r>
      <w:r w:rsidR="00E63DF0" w:rsidRPr="00E63DF0">
        <w:rPr>
          <w:rFonts w:cs="Times New Roman"/>
          <w:szCs w:val="24"/>
        </w:rPr>
        <w:t>An</w:t>
      </w:r>
      <w:r w:rsidR="00E63DF0">
        <w:rPr>
          <w:rFonts w:cs="Times New Roman"/>
          <w:szCs w:val="24"/>
        </w:rPr>
        <w:t xml:space="preserve"> examination of </w:t>
      </w:r>
      <w:r w:rsidR="007F5727">
        <w:rPr>
          <w:rFonts w:cs="Times New Roman"/>
          <w:szCs w:val="24"/>
        </w:rPr>
        <w:t>Tennessee’s higher education landscape</w:t>
      </w:r>
      <w:r w:rsidR="00E63DF0">
        <w:rPr>
          <w:rFonts w:cs="Times New Roman"/>
          <w:szCs w:val="24"/>
        </w:rPr>
        <w:t xml:space="preserve"> is made</w:t>
      </w:r>
      <w:r w:rsidR="007F5727">
        <w:rPr>
          <w:rFonts w:cs="Times New Roman"/>
          <w:szCs w:val="24"/>
        </w:rPr>
        <w:t>, highlighting the significance of the Complete College Tennessee Act (CCTA) and the Drive to 55 initiative</w:t>
      </w:r>
      <w:r w:rsidR="00CE4A33">
        <w:rPr>
          <w:rFonts w:cs="Times New Roman"/>
          <w:szCs w:val="24"/>
        </w:rPr>
        <w:t>s</w:t>
      </w:r>
      <w:r w:rsidR="007F5727">
        <w:rPr>
          <w:rFonts w:cs="Times New Roman"/>
          <w:szCs w:val="24"/>
        </w:rPr>
        <w:t xml:space="preserve"> in shaping the state’s educational reform. The focus on outcomes-based funding and early postsecondary opportunities further sets the stage for the subsequent exploration of dual enrollment in Tennessee.</w:t>
      </w:r>
    </w:p>
    <w:p w14:paraId="09A7A82F" w14:textId="1A28220C" w:rsidR="008A516E" w:rsidRDefault="00E63DF0" w:rsidP="009E0F7A">
      <w:pPr>
        <w:rPr>
          <w:rFonts w:cs="Times New Roman"/>
          <w:szCs w:val="24"/>
        </w:rPr>
      </w:pPr>
      <w:r>
        <w:rPr>
          <w:rFonts w:cs="Times New Roman"/>
          <w:szCs w:val="24"/>
        </w:rPr>
        <w:tab/>
      </w:r>
      <w:r>
        <w:t xml:space="preserve">While widely praised for promoting college readiness and accelerated degree completion, dual enrollment programs are not without challenges. </w:t>
      </w:r>
      <w:r>
        <w:rPr>
          <w:rFonts w:cs="Times New Roman"/>
          <w:szCs w:val="24"/>
        </w:rPr>
        <w:t xml:space="preserve">The chapter concludes with an examination of </w:t>
      </w:r>
      <w:r w:rsidR="006E0053">
        <w:rPr>
          <w:rFonts w:cs="Times New Roman"/>
          <w:szCs w:val="24"/>
        </w:rPr>
        <w:t xml:space="preserve">the challenges and criticisms of dual enrollment highlighting potential barriers and a call for greater access, especially for underrepresented groups. </w:t>
      </w:r>
    </w:p>
    <w:p w14:paraId="10AEF184" w14:textId="22740F8D" w:rsidR="00AF4B8B" w:rsidRDefault="00AF4B8B" w:rsidP="009E0F7A">
      <w:pPr>
        <w:rPr>
          <w:rFonts w:cs="Times New Roman"/>
          <w:szCs w:val="24"/>
        </w:rPr>
      </w:pPr>
    </w:p>
    <w:p w14:paraId="59854958" w14:textId="139B7A0E" w:rsidR="00AF4B8B" w:rsidRDefault="00AF4B8B" w:rsidP="009E0F7A">
      <w:pPr>
        <w:rPr>
          <w:rFonts w:cs="Times New Roman"/>
          <w:szCs w:val="24"/>
        </w:rPr>
      </w:pPr>
    </w:p>
    <w:p w14:paraId="4EA62DD9" w14:textId="5839B19A" w:rsidR="001E3849" w:rsidRDefault="001E3849" w:rsidP="009E0F7A">
      <w:pPr>
        <w:rPr>
          <w:rFonts w:cs="Times New Roman"/>
          <w:szCs w:val="24"/>
        </w:rPr>
      </w:pPr>
    </w:p>
    <w:p w14:paraId="60670C61" w14:textId="77777777" w:rsidR="00AF4B8B" w:rsidRPr="009E0F7A" w:rsidRDefault="00AF4B8B" w:rsidP="009E0F7A">
      <w:pPr>
        <w:rPr>
          <w:rFonts w:cs="Times New Roman"/>
          <w:szCs w:val="24"/>
        </w:rPr>
      </w:pPr>
    </w:p>
    <w:p w14:paraId="33559E3C" w14:textId="64C98524" w:rsidR="00046736" w:rsidRPr="0053032E" w:rsidRDefault="00E073CC" w:rsidP="0053032E">
      <w:pPr>
        <w:pStyle w:val="Heading2"/>
        <w:rPr>
          <w:rFonts w:cs="Times New Roman"/>
          <w:szCs w:val="24"/>
        </w:rPr>
      </w:pPr>
      <w:bookmarkStart w:id="47" w:name="_Toc224458899"/>
      <w:r w:rsidRPr="00291504">
        <w:rPr>
          <w:rFonts w:cs="Times New Roman"/>
          <w:szCs w:val="24"/>
        </w:rPr>
        <w:lastRenderedPageBreak/>
        <w:t xml:space="preserve">Chapter 3. </w:t>
      </w:r>
      <w:r w:rsidR="00A866B8">
        <w:rPr>
          <w:rFonts w:cs="Times New Roman"/>
          <w:szCs w:val="24"/>
        </w:rPr>
        <w:t>Research Method</w:t>
      </w:r>
      <w:bookmarkEnd w:id="47"/>
    </w:p>
    <w:p w14:paraId="2E50D251" w14:textId="6A60E24E" w:rsidR="00A866B8" w:rsidRPr="00E05AF5" w:rsidRDefault="00E05AF5" w:rsidP="00E05AF5">
      <w:pPr>
        <w:spacing w:after="160"/>
        <w:ind w:firstLine="720"/>
        <w:rPr>
          <w:rFonts w:cs="Times New Roman"/>
          <w:color w:val="000000" w:themeColor="text1"/>
          <w:szCs w:val="24"/>
        </w:rPr>
      </w:pPr>
      <w:r w:rsidRPr="00534C34">
        <w:rPr>
          <w:rFonts w:cs="Times New Roman"/>
          <w:color w:val="000000" w:themeColor="text1"/>
          <w:spacing w:val="3"/>
          <w:szCs w:val="24"/>
        </w:rPr>
        <w:t xml:space="preserve">The purpose of this non-experimental quantitative study </w:t>
      </w:r>
      <w:r w:rsidR="004F1BBD">
        <w:rPr>
          <w:rFonts w:cs="Times New Roman"/>
          <w:color w:val="000000" w:themeColor="text1"/>
          <w:spacing w:val="3"/>
          <w:szCs w:val="24"/>
        </w:rPr>
        <w:t>was</w:t>
      </w:r>
      <w:r w:rsidRPr="00534C34">
        <w:rPr>
          <w:rFonts w:cs="Times New Roman"/>
          <w:color w:val="000000" w:themeColor="text1"/>
          <w:spacing w:val="3"/>
          <w:szCs w:val="24"/>
        </w:rPr>
        <w:t xml:space="preserve"> to compare the relationship of dual enrollment to completion rates at a </w:t>
      </w:r>
      <w:r w:rsidR="004F1BBD">
        <w:rPr>
          <w:rFonts w:cs="Times New Roman"/>
          <w:color w:val="000000" w:themeColor="text1"/>
          <w:spacing w:val="3"/>
          <w:szCs w:val="24"/>
        </w:rPr>
        <w:t>Tennessee</w:t>
      </w:r>
      <w:r w:rsidRPr="00534C34">
        <w:rPr>
          <w:rFonts w:cs="Times New Roman"/>
          <w:color w:val="000000" w:themeColor="text1"/>
          <w:spacing w:val="3"/>
          <w:szCs w:val="24"/>
        </w:rPr>
        <w:t xml:space="preserve"> community college. </w:t>
      </w:r>
      <w:r w:rsidR="00675CB1">
        <w:rPr>
          <w:rFonts w:cs="Times New Roman"/>
          <w:color w:val="000000" w:themeColor="text1"/>
          <w:spacing w:val="3"/>
          <w:szCs w:val="24"/>
        </w:rPr>
        <w:t>I</w:t>
      </w:r>
      <w:r w:rsidRPr="00534C34">
        <w:rPr>
          <w:rFonts w:cs="Times New Roman"/>
          <w:color w:val="000000" w:themeColor="text1"/>
          <w:spacing w:val="3"/>
          <w:szCs w:val="24"/>
        </w:rPr>
        <w:t xml:space="preserve"> focus</w:t>
      </w:r>
      <w:r w:rsidR="004F1BBD">
        <w:rPr>
          <w:rFonts w:cs="Times New Roman"/>
          <w:color w:val="000000" w:themeColor="text1"/>
          <w:spacing w:val="3"/>
          <w:szCs w:val="24"/>
        </w:rPr>
        <w:t>ed</w:t>
      </w:r>
      <w:r w:rsidRPr="00534C34">
        <w:rPr>
          <w:rFonts w:cs="Times New Roman"/>
          <w:color w:val="000000" w:themeColor="text1"/>
          <w:spacing w:val="3"/>
          <w:szCs w:val="24"/>
        </w:rPr>
        <w:t xml:space="preserve"> on of first-time, full-time students at </w:t>
      </w:r>
      <w:r w:rsidR="0035422E">
        <w:rPr>
          <w:rFonts w:cs="Times New Roman"/>
          <w:color w:val="000000" w:themeColor="text1"/>
          <w:spacing w:val="3"/>
          <w:szCs w:val="24"/>
        </w:rPr>
        <w:t>a</w:t>
      </w:r>
      <w:r w:rsidRPr="00534C34">
        <w:rPr>
          <w:rFonts w:cs="Times New Roman"/>
          <w:color w:val="000000" w:themeColor="text1"/>
          <w:spacing w:val="3"/>
          <w:szCs w:val="24"/>
        </w:rPr>
        <w:t xml:space="preserve"> community college who completed at least one dual-enrollment course compared to those students who did not complete at least one dual enrollment course</w:t>
      </w:r>
      <w:r w:rsidR="0035422E">
        <w:rPr>
          <w:rFonts w:cs="Times New Roman"/>
          <w:color w:val="000000" w:themeColor="text1"/>
          <w:spacing w:val="3"/>
          <w:szCs w:val="24"/>
        </w:rPr>
        <w:t xml:space="preserve"> and relationships between </w:t>
      </w:r>
      <w:r w:rsidR="008C5AAE" w:rsidRPr="00A866B8">
        <w:rPr>
          <w:rFonts w:cs="Times New Roman"/>
          <w:color w:val="000000" w:themeColor="text1"/>
          <w:spacing w:val="3"/>
          <w:szCs w:val="24"/>
        </w:rPr>
        <w:t>completion rates, grade point average (GPA)</w:t>
      </w:r>
      <w:r w:rsidR="00AF4B8B" w:rsidRPr="00127357">
        <w:rPr>
          <w:rFonts w:cs="Times New Roman"/>
          <w:color w:val="000000" w:themeColor="text1"/>
          <w:spacing w:val="3"/>
          <w:szCs w:val="24"/>
        </w:rPr>
        <w:t>, enrollment status (part-time or full-time</w:t>
      </w:r>
      <w:r w:rsidR="00AF4B8B">
        <w:rPr>
          <w:rFonts w:cs="Times New Roman"/>
          <w:color w:val="000000" w:themeColor="text1"/>
          <w:spacing w:val="3"/>
          <w:szCs w:val="24"/>
        </w:rPr>
        <w:t>)</w:t>
      </w:r>
      <w:r w:rsidR="00AF4B8B" w:rsidRPr="00127357">
        <w:rPr>
          <w:rFonts w:cs="Times New Roman"/>
          <w:color w:val="000000" w:themeColor="text1"/>
          <w:spacing w:val="3"/>
          <w:szCs w:val="24"/>
        </w:rPr>
        <w:t>, retention rate (</w:t>
      </w:r>
      <w:r w:rsidR="00525B86">
        <w:rPr>
          <w:rFonts w:cs="Times New Roman"/>
          <w:color w:val="000000" w:themeColor="text1"/>
          <w:spacing w:val="3"/>
          <w:szCs w:val="24"/>
        </w:rPr>
        <w:t>f</w:t>
      </w:r>
      <w:r w:rsidR="00AF4B8B" w:rsidRPr="00127357">
        <w:rPr>
          <w:rFonts w:cs="Times New Roman"/>
          <w:color w:val="000000" w:themeColor="text1"/>
          <w:spacing w:val="3"/>
          <w:szCs w:val="24"/>
        </w:rPr>
        <w:t xml:space="preserve">all to </w:t>
      </w:r>
      <w:r w:rsidR="00525B86">
        <w:rPr>
          <w:rFonts w:cs="Times New Roman"/>
          <w:color w:val="000000" w:themeColor="text1"/>
          <w:spacing w:val="3"/>
          <w:szCs w:val="24"/>
        </w:rPr>
        <w:t>s</w:t>
      </w:r>
      <w:r w:rsidR="00AF4B8B" w:rsidRPr="00127357">
        <w:rPr>
          <w:rFonts w:cs="Times New Roman"/>
          <w:color w:val="000000" w:themeColor="text1"/>
          <w:spacing w:val="3"/>
          <w:szCs w:val="24"/>
        </w:rPr>
        <w:t>pring</w:t>
      </w:r>
      <w:r w:rsidR="008A70EA">
        <w:rPr>
          <w:rFonts w:cs="Times New Roman"/>
          <w:color w:val="000000" w:themeColor="text1"/>
          <w:spacing w:val="3"/>
          <w:szCs w:val="24"/>
        </w:rPr>
        <w:t xml:space="preserve">; </w:t>
      </w:r>
      <w:r w:rsidR="00525B86">
        <w:rPr>
          <w:rFonts w:cs="Times New Roman"/>
          <w:color w:val="000000" w:themeColor="text1"/>
          <w:spacing w:val="3"/>
          <w:szCs w:val="24"/>
        </w:rPr>
        <w:t>f</w:t>
      </w:r>
      <w:r w:rsidR="008A70EA">
        <w:rPr>
          <w:rFonts w:cs="Times New Roman"/>
          <w:color w:val="000000" w:themeColor="text1"/>
          <w:spacing w:val="3"/>
          <w:szCs w:val="24"/>
        </w:rPr>
        <w:t xml:space="preserve">all to </w:t>
      </w:r>
      <w:r w:rsidR="00525B86">
        <w:rPr>
          <w:rFonts w:cs="Times New Roman"/>
          <w:color w:val="000000" w:themeColor="text1"/>
          <w:spacing w:val="3"/>
          <w:szCs w:val="24"/>
        </w:rPr>
        <w:t>f</w:t>
      </w:r>
      <w:r w:rsidR="008A70EA">
        <w:rPr>
          <w:rFonts w:cs="Times New Roman"/>
          <w:color w:val="000000" w:themeColor="text1"/>
          <w:spacing w:val="3"/>
          <w:szCs w:val="24"/>
        </w:rPr>
        <w:t>all</w:t>
      </w:r>
      <w:r w:rsidR="00AF4B8B" w:rsidRPr="00127357">
        <w:rPr>
          <w:rFonts w:cs="Times New Roman"/>
          <w:color w:val="000000" w:themeColor="text1"/>
          <w:spacing w:val="3"/>
          <w:szCs w:val="24"/>
        </w:rPr>
        <w:t>), academic credits (30 or more semester credits)</w:t>
      </w:r>
      <w:r w:rsidR="00AF4B8B">
        <w:rPr>
          <w:rFonts w:cs="Times New Roman"/>
          <w:color w:val="000000" w:themeColor="text1"/>
          <w:spacing w:val="3"/>
          <w:szCs w:val="24"/>
        </w:rPr>
        <w:t>,</w:t>
      </w:r>
      <w:r w:rsidR="00AF4B8B" w:rsidRPr="00127357">
        <w:rPr>
          <w:rFonts w:cs="Times New Roman"/>
          <w:color w:val="000000" w:themeColor="text1"/>
          <w:spacing w:val="3"/>
          <w:szCs w:val="24"/>
        </w:rPr>
        <w:t xml:space="preserve"> and academic credits (number earned at the end of their freshman year).</w:t>
      </w:r>
      <w:r w:rsidR="0035422E">
        <w:rPr>
          <w:rFonts w:cs="Times New Roman"/>
          <w:color w:val="000000" w:themeColor="text1"/>
          <w:spacing w:val="3"/>
          <w:szCs w:val="24"/>
        </w:rPr>
        <w:t xml:space="preserve"> </w:t>
      </w:r>
      <w:r w:rsidR="00996DFC">
        <w:rPr>
          <w:rFonts w:cs="Times New Roman"/>
          <w:color w:val="000000" w:themeColor="text1"/>
          <w:spacing w:val="3"/>
          <w:szCs w:val="24"/>
        </w:rPr>
        <w:t>I</w:t>
      </w:r>
      <w:r w:rsidRPr="00534C34">
        <w:rPr>
          <w:rFonts w:cs="Times New Roman"/>
          <w:color w:val="000000" w:themeColor="text1"/>
          <w:spacing w:val="3"/>
          <w:szCs w:val="24"/>
        </w:rPr>
        <w:t xml:space="preserve"> use</w:t>
      </w:r>
      <w:r w:rsidR="007A2080">
        <w:rPr>
          <w:rFonts w:cs="Times New Roman"/>
          <w:color w:val="000000" w:themeColor="text1"/>
          <w:spacing w:val="3"/>
          <w:szCs w:val="24"/>
        </w:rPr>
        <w:t>d</w:t>
      </w:r>
      <w:r w:rsidRPr="00534C34">
        <w:rPr>
          <w:rFonts w:cs="Times New Roman"/>
          <w:color w:val="000000" w:themeColor="text1"/>
          <w:spacing w:val="3"/>
          <w:szCs w:val="24"/>
        </w:rPr>
        <w:t xml:space="preserve"> the 201</w:t>
      </w:r>
      <w:r>
        <w:rPr>
          <w:rFonts w:cs="Times New Roman"/>
          <w:color w:val="000000" w:themeColor="text1"/>
          <w:spacing w:val="3"/>
          <w:szCs w:val="24"/>
        </w:rPr>
        <w:t>7</w:t>
      </w:r>
      <w:r w:rsidRPr="00534C34">
        <w:rPr>
          <w:rFonts w:cs="Times New Roman"/>
          <w:color w:val="000000" w:themeColor="text1"/>
          <w:spacing w:val="3"/>
          <w:szCs w:val="24"/>
        </w:rPr>
        <w:t xml:space="preserve"> through 20</w:t>
      </w:r>
      <w:r>
        <w:rPr>
          <w:rFonts w:cs="Times New Roman"/>
          <w:color w:val="000000" w:themeColor="text1"/>
          <w:spacing w:val="3"/>
          <w:szCs w:val="24"/>
        </w:rPr>
        <w:t>2</w:t>
      </w:r>
      <w:r w:rsidR="00CD588A">
        <w:rPr>
          <w:rFonts w:cs="Times New Roman"/>
          <w:color w:val="000000" w:themeColor="text1"/>
          <w:spacing w:val="3"/>
          <w:szCs w:val="24"/>
        </w:rPr>
        <w:t>1</w:t>
      </w:r>
      <w:r w:rsidRPr="00534C34">
        <w:rPr>
          <w:rFonts w:cs="Times New Roman"/>
          <w:color w:val="000000" w:themeColor="text1"/>
          <w:spacing w:val="3"/>
          <w:szCs w:val="24"/>
        </w:rPr>
        <w:t xml:space="preserve"> cohorts which include</w:t>
      </w:r>
      <w:r w:rsidR="00AF4B8B">
        <w:rPr>
          <w:rFonts w:cs="Times New Roman"/>
          <w:color w:val="000000" w:themeColor="text1"/>
          <w:spacing w:val="3"/>
          <w:szCs w:val="24"/>
        </w:rPr>
        <w:t>d</w:t>
      </w:r>
      <w:r w:rsidRPr="00534C34">
        <w:rPr>
          <w:rFonts w:cs="Times New Roman"/>
          <w:color w:val="000000" w:themeColor="text1"/>
          <w:spacing w:val="3"/>
          <w:szCs w:val="24"/>
        </w:rPr>
        <w:t xml:space="preserve"> </w:t>
      </w:r>
      <w:r w:rsidR="00CD588A">
        <w:rPr>
          <w:rFonts w:cs="Times New Roman"/>
          <w:color w:val="000000" w:themeColor="text1"/>
          <w:spacing w:val="3"/>
          <w:szCs w:val="24"/>
        </w:rPr>
        <w:t>6</w:t>
      </w:r>
      <w:r w:rsidRPr="00A866B8">
        <w:rPr>
          <w:rFonts w:cs="Times New Roman"/>
          <w:color w:val="000000" w:themeColor="text1"/>
          <w:spacing w:val="3"/>
          <w:szCs w:val="24"/>
        </w:rPr>
        <w:t>,</w:t>
      </w:r>
      <w:r w:rsidR="00CD588A">
        <w:rPr>
          <w:rFonts w:cs="Times New Roman"/>
          <w:color w:val="000000" w:themeColor="text1"/>
          <w:spacing w:val="3"/>
          <w:szCs w:val="24"/>
        </w:rPr>
        <w:t>9</w:t>
      </w:r>
      <w:r w:rsidRPr="00A866B8">
        <w:rPr>
          <w:rFonts w:cs="Times New Roman"/>
          <w:color w:val="000000" w:themeColor="text1"/>
          <w:spacing w:val="3"/>
          <w:szCs w:val="24"/>
        </w:rPr>
        <w:t>6</w:t>
      </w:r>
      <w:r w:rsidR="00CD588A">
        <w:rPr>
          <w:rFonts w:cs="Times New Roman"/>
          <w:color w:val="000000" w:themeColor="text1"/>
          <w:spacing w:val="3"/>
          <w:szCs w:val="24"/>
        </w:rPr>
        <w:t>9</w:t>
      </w:r>
      <w:r w:rsidRPr="00A866B8">
        <w:rPr>
          <w:rFonts w:cs="Times New Roman"/>
          <w:color w:val="000000" w:themeColor="text1"/>
          <w:spacing w:val="3"/>
          <w:szCs w:val="24"/>
        </w:rPr>
        <w:t xml:space="preserve"> </w:t>
      </w:r>
      <w:r w:rsidRPr="00534C34">
        <w:rPr>
          <w:rFonts w:cs="Times New Roman"/>
          <w:color w:val="000000" w:themeColor="text1"/>
          <w:spacing w:val="3"/>
          <w:szCs w:val="24"/>
        </w:rPr>
        <w:t>students</w:t>
      </w:r>
      <w:r>
        <w:rPr>
          <w:rFonts w:cs="Times New Roman"/>
          <w:color w:val="000000" w:themeColor="text1"/>
          <w:spacing w:val="3"/>
          <w:szCs w:val="24"/>
        </w:rPr>
        <w:t xml:space="preserve"> using archival quantitative data analysis</w:t>
      </w:r>
      <w:r w:rsidRPr="00534C34">
        <w:rPr>
          <w:rFonts w:cs="Times New Roman"/>
          <w:color w:val="000000" w:themeColor="text1"/>
          <w:spacing w:val="3"/>
          <w:szCs w:val="24"/>
        </w:rPr>
        <w:t xml:space="preserve">. </w:t>
      </w:r>
      <w:r w:rsidR="00EC79EA">
        <w:rPr>
          <w:rFonts w:cs="Times New Roman"/>
          <w:color w:val="000000" w:themeColor="text1"/>
          <w:spacing w:val="3"/>
          <w:szCs w:val="24"/>
        </w:rPr>
        <w:t xml:space="preserve">Graduation was measured by completion of an associate degree or certificate within 3 years (150%) (IPEDS, n.d.). </w:t>
      </w:r>
      <w:r w:rsidR="00EC79EA">
        <w:rPr>
          <w:rFonts w:cs="Times New Roman"/>
        </w:rPr>
        <w:t>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A total of 2,078 students met the study criteria for inclusion</w:t>
      </w:r>
      <w:r w:rsidR="00EC79EA" w:rsidRPr="004473DC">
        <w:rPr>
          <w:rFonts w:cs="Times New Roman"/>
        </w:rPr>
        <w:t>.</w:t>
      </w:r>
      <w:r w:rsidR="00EC79EA">
        <w:rPr>
          <w:rFonts w:cs="Times New Roman"/>
        </w:rPr>
        <w:t xml:space="preserve"> </w:t>
      </w:r>
      <w:r w:rsidR="00A866B8" w:rsidRPr="00A866B8">
        <w:rPr>
          <w:rFonts w:eastAsia="Times New Roman" w:cs="Times New Roman"/>
          <w:color w:val="000000" w:themeColor="text1"/>
          <w:spacing w:val="3"/>
          <w:szCs w:val="24"/>
        </w:rPr>
        <w:t>This chapter contains research questions and null hypothes</w:t>
      </w:r>
      <w:r w:rsidR="00AF4B8B">
        <w:rPr>
          <w:rFonts w:eastAsia="Times New Roman" w:cs="Times New Roman"/>
          <w:color w:val="000000" w:themeColor="text1"/>
          <w:spacing w:val="3"/>
          <w:szCs w:val="24"/>
        </w:rPr>
        <w:t>e</w:t>
      </w:r>
      <w:r w:rsidR="00A866B8" w:rsidRPr="00A866B8">
        <w:rPr>
          <w:rFonts w:eastAsia="Times New Roman" w:cs="Times New Roman"/>
          <w:color w:val="000000" w:themeColor="text1"/>
          <w:spacing w:val="3"/>
          <w:szCs w:val="24"/>
        </w:rPr>
        <w:t>s, instrumentation, population, data collection, data analysis, validity and reliability, ethical considerations, and chapter summary.</w:t>
      </w:r>
    </w:p>
    <w:p w14:paraId="6DA13EB8" w14:textId="17A70821" w:rsidR="00A866B8" w:rsidRDefault="00A866B8" w:rsidP="00A866B8">
      <w:pPr>
        <w:pStyle w:val="Heading3"/>
        <w:rPr>
          <w:rFonts w:cs="Times New Roman"/>
        </w:rPr>
      </w:pPr>
      <w:bookmarkStart w:id="48" w:name="_Toc224458900"/>
      <w:r>
        <w:rPr>
          <w:rFonts w:cs="Times New Roman"/>
        </w:rPr>
        <w:t>Research Questions and Null Hypothes</w:t>
      </w:r>
      <w:r w:rsidR="009E7D9E">
        <w:rPr>
          <w:rFonts w:cs="Times New Roman"/>
        </w:rPr>
        <w:t>e</w:t>
      </w:r>
      <w:r>
        <w:rPr>
          <w:rFonts w:cs="Times New Roman"/>
        </w:rPr>
        <w:t>s</w:t>
      </w:r>
      <w:bookmarkEnd w:id="48"/>
    </w:p>
    <w:p w14:paraId="5DF01C1E" w14:textId="483381D4" w:rsidR="00A866B8" w:rsidRPr="00A866B8" w:rsidRDefault="00A866B8" w:rsidP="00E05AF5">
      <w:pPr>
        <w:ind w:firstLine="720"/>
        <w:rPr>
          <w:rFonts w:cs="Times New Roman"/>
          <w:color w:val="000000" w:themeColor="text1"/>
          <w:spacing w:val="3"/>
          <w:szCs w:val="24"/>
        </w:rPr>
      </w:pPr>
      <w:bookmarkStart w:id="49" w:name="_Hlk207712190"/>
      <w:r w:rsidRPr="00A866B8">
        <w:rPr>
          <w:rFonts w:cs="Times New Roman"/>
          <w:color w:val="000000" w:themeColor="text1"/>
          <w:szCs w:val="24"/>
        </w:rPr>
        <w:t xml:space="preserve">Research questions for this </w:t>
      </w:r>
      <w:r w:rsidRPr="00A866B8">
        <w:rPr>
          <w:rFonts w:cs="Times New Roman"/>
          <w:color w:val="000000" w:themeColor="text1"/>
          <w:spacing w:val="3"/>
          <w:szCs w:val="24"/>
        </w:rPr>
        <w:t>non-experimental</w:t>
      </w:r>
      <w:r w:rsidR="00C56BD9">
        <w:rPr>
          <w:rFonts w:cs="Times New Roman"/>
          <w:color w:val="000000" w:themeColor="text1"/>
          <w:spacing w:val="3"/>
          <w:szCs w:val="24"/>
        </w:rPr>
        <w:t>,</w:t>
      </w:r>
      <w:r w:rsidRPr="00A866B8">
        <w:rPr>
          <w:rFonts w:cs="Times New Roman"/>
          <w:color w:val="000000" w:themeColor="text1"/>
          <w:spacing w:val="3"/>
          <w:szCs w:val="24"/>
        </w:rPr>
        <w:t xml:space="preserve"> quantitative study w</w:t>
      </w:r>
      <w:r w:rsidR="008A70EA">
        <w:rPr>
          <w:rFonts w:cs="Times New Roman"/>
          <w:color w:val="000000" w:themeColor="text1"/>
          <w:spacing w:val="3"/>
          <w:szCs w:val="24"/>
        </w:rPr>
        <w:t xml:space="preserve">ere </w:t>
      </w:r>
      <w:r w:rsidRPr="00A866B8">
        <w:rPr>
          <w:rFonts w:cs="Times New Roman"/>
          <w:color w:val="000000" w:themeColor="text1"/>
          <w:spacing w:val="3"/>
          <w:szCs w:val="24"/>
        </w:rPr>
        <w:t xml:space="preserve">used to investigate the relationship </w:t>
      </w:r>
      <w:r w:rsidR="0060606E">
        <w:rPr>
          <w:rFonts w:cs="Times New Roman"/>
          <w:color w:val="000000" w:themeColor="text1"/>
          <w:spacing w:val="3"/>
          <w:szCs w:val="24"/>
        </w:rPr>
        <w:t>between</w:t>
      </w:r>
      <w:r w:rsidRPr="00A866B8">
        <w:rPr>
          <w:rFonts w:cs="Times New Roman"/>
          <w:color w:val="000000" w:themeColor="text1"/>
          <w:spacing w:val="3"/>
          <w:szCs w:val="24"/>
        </w:rPr>
        <w:t xml:space="preserve"> dual enrollment students</w:t>
      </w:r>
      <w:r w:rsidR="00C56BD9">
        <w:rPr>
          <w:rFonts w:cs="Times New Roman"/>
          <w:color w:val="000000" w:themeColor="text1"/>
          <w:spacing w:val="3"/>
          <w:szCs w:val="24"/>
        </w:rPr>
        <w:t xml:space="preserve"> and graduation</w:t>
      </w:r>
      <w:r w:rsidRPr="00A866B8">
        <w:rPr>
          <w:rFonts w:cs="Times New Roman"/>
          <w:color w:val="000000" w:themeColor="text1"/>
          <w:spacing w:val="3"/>
          <w:szCs w:val="24"/>
        </w:rPr>
        <w:t xml:space="preserve"> rates at a </w:t>
      </w:r>
      <w:r w:rsidR="00EC4A61">
        <w:rPr>
          <w:rFonts w:cs="Times New Roman"/>
          <w:color w:val="000000" w:themeColor="text1"/>
          <w:spacing w:val="3"/>
          <w:szCs w:val="24"/>
        </w:rPr>
        <w:t>Tenn</w:t>
      </w:r>
      <w:r w:rsidR="00EC4A61" w:rsidRPr="00127357">
        <w:rPr>
          <w:rFonts w:cs="Times New Roman"/>
          <w:color w:val="000000" w:themeColor="text1"/>
          <w:spacing w:val="3"/>
          <w:szCs w:val="24"/>
        </w:rPr>
        <w:t>essee</w:t>
      </w:r>
      <w:r w:rsidRPr="00127357">
        <w:rPr>
          <w:rFonts w:cs="Times New Roman"/>
          <w:color w:val="000000" w:themeColor="text1"/>
          <w:spacing w:val="3"/>
          <w:szCs w:val="24"/>
        </w:rPr>
        <w:t xml:space="preserve"> community college</w:t>
      </w:r>
      <w:bookmarkStart w:id="50" w:name="_Hlk205033004"/>
      <w:r w:rsidR="00127357" w:rsidRPr="00127357">
        <w:rPr>
          <w:rFonts w:cs="Times New Roman"/>
          <w:color w:val="000000" w:themeColor="text1"/>
          <w:spacing w:val="3"/>
          <w:szCs w:val="24"/>
        </w:rPr>
        <w:t>.</w:t>
      </w:r>
      <w:bookmarkEnd w:id="50"/>
      <w:r w:rsidRPr="00A866B8">
        <w:rPr>
          <w:rFonts w:cs="Times New Roman"/>
          <w:color w:val="000000" w:themeColor="text1"/>
          <w:spacing w:val="3"/>
          <w:szCs w:val="24"/>
        </w:rPr>
        <w:t xml:space="preserve"> </w:t>
      </w:r>
      <w:r w:rsidR="001B7084">
        <w:rPr>
          <w:rFonts w:cs="Times New Roman"/>
          <w:color w:val="000000" w:themeColor="text1"/>
          <w:spacing w:val="3"/>
          <w:szCs w:val="24"/>
        </w:rPr>
        <w:t>The research questions and null hypothes</w:t>
      </w:r>
      <w:r w:rsidR="009412D0">
        <w:rPr>
          <w:rFonts w:cs="Times New Roman"/>
          <w:color w:val="000000" w:themeColor="text1"/>
          <w:spacing w:val="3"/>
          <w:szCs w:val="24"/>
        </w:rPr>
        <w:t>e</w:t>
      </w:r>
      <w:r w:rsidR="001B7084">
        <w:rPr>
          <w:rFonts w:cs="Times New Roman"/>
          <w:color w:val="000000" w:themeColor="text1"/>
          <w:spacing w:val="3"/>
          <w:szCs w:val="24"/>
        </w:rPr>
        <w:t>s are:</w:t>
      </w:r>
    </w:p>
    <w:p w14:paraId="77A01529" w14:textId="25A1511A" w:rsidR="00E2131C" w:rsidRPr="00464352" w:rsidRDefault="00E2131C" w:rsidP="00E2131C">
      <w:pPr>
        <w:ind w:firstLine="720"/>
        <w:rPr>
          <w:rFonts w:cs="Times New Roman"/>
        </w:rPr>
      </w:pPr>
      <w:bookmarkStart w:id="51" w:name="_Hlk204603060"/>
      <w:r w:rsidRPr="00464352">
        <w:rPr>
          <w:rFonts w:cs="Times New Roman"/>
          <w:color w:val="000000" w:themeColor="text1"/>
          <w:szCs w:val="24"/>
        </w:rPr>
        <w:lastRenderedPageBreak/>
        <w:t xml:space="preserve">Research Question 1: </w:t>
      </w:r>
      <w:r w:rsidRPr="00464352">
        <w:rPr>
          <w:rFonts w:cs="Times New Roman"/>
        </w:rPr>
        <w:t>For first-time, full-time, community college students, is there a significant relationship between graduating within 3 years (150%) and completing at least one dual enrollment course in high school?</w:t>
      </w:r>
    </w:p>
    <w:p w14:paraId="5358AEA5" w14:textId="77777777" w:rsidR="00E2131C" w:rsidRPr="00464352" w:rsidRDefault="00E2131C" w:rsidP="00E2131C">
      <w:pPr>
        <w:ind w:firstLine="720"/>
        <w:rPr>
          <w:rFonts w:cs="Times New Roman"/>
        </w:rPr>
      </w:pPr>
      <w:r w:rsidRPr="00464352">
        <w:rPr>
          <w:rFonts w:cs="Times New Roman"/>
          <w:color w:val="000000" w:themeColor="text1"/>
          <w:szCs w:val="24"/>
        </w:rPr>
        <w:t>H</w:t>
      </w:r>
      <w:r w:rsidRPr="00464352">
        <w:rPr>
          <w:rFonts w:cs="Times New Roman"/>
          <w:color w:val="000000" w:themeColor="text1"/>
          <w:szCs w:val="24"/>
          <w:vertAlign w:val="subscript"/>
        </w:rPr>
        <w:t>o</w:t>
      </w:r>
      <w:r w:rsidRPr="00464352">
        <w:rPr>
          <w:rFonts w:cs="Times New Roman"/>
          <w:color w:val="000000" w:themeColor="text1"/>
          <w:szCs w:val="24"/>
        </w:rPr>
        <w:t xml:space="preserve">1: There is no significant difference </w:t>
      </w:r>
      <w:r w:rsidRPr="00464352">
        <w:rPr>
          <w:rFonts w:cs="Times New Roman"/>
        </w:rPr>
        <w:t>for first-time, full-time, community college students graduating within 3 years (150%) and completing at least one dual enrollment course in high school.</w:t>
      </w:r>
    </w:p>
    <w:p w14:paraId="7B8BF125" w14:textId="1F9CF685" w:rsidR="00A866B8" w:rsidRPr="00464352" w:rsidRDefault="00A866B8" w:rsidP="00A866B8">
      <w:pPr>
        <w:ind w:firstLine="720"/>
        <w:rPr>
          <w:rFonts w:cs="Times New Roman"/>
          <w:color w:val="000000" w:themeColor="text1"/>
          <w:szCs w:val="24"/>
        </w:rPr>
      </w:pPr>
      <w:r w:rsidRPr="00464352">
        <w:rPr>
          <w:rFonts w:cs="Times New Roman"/>
          <w:color w:val="000000" w:themeColor="text1"/>
          <w:szCs w:val="24"/>
        </w:rPr>
        <w:t xml:space="preserve">Research Question 2: </w:t>
      </w:r>
      <w:r w:rsidR="00C56BD9" w:rsidRPr="00464352">
        <w:rPr>
          <w:rFonts w:cs="Times New Roman"/>
        </w:rPr>
        <w:t>Is there a significant difference in the college GPA at the end of year one between first-time, full-time, community college students who completed at least one dual</w:t>
      </w:r>
      <w:r w:rsidR="00FB3ADC" w:rsidRPr="00464352">
        <w:rPr>
          <w:rFonts w:cs="Times New Roman"/>
        </w:rPr>
        <w:t xml:space="preserve"> </w:t>
      </w:r>
      <w:r w:rsidR="00C56BD9" w:rsidRPr="00464352">
        <w:rPr>
          <w:rFonts w:cs="Times New Roman"/>
        </w:rPr>
        <w:t xml:space="preserve">enrollment course in high school and those students </w:t>
      </w:r>
      <w:r w:rsidR="001C36D7" w:rsidRPr="00464352">
        <w:rPr>
          <w:rFonts w:cs="Times New Roman"/>
        </w:rPr>
        <w:t>who</w:t>
      </w:r>
      <w:r w:rsidR="00C56BD9" w:rsidRPr="00464352">
        <w:rPr>
          <w:rFonts w:cs="Times New Roman"/>
        </w:rPr>
        <w:t xml:space="preserve"> did not participate in dual</w:t>
      </w:r>
      <w:r w:rsidR="00FB3ADC" w:rsidRPr="00464352">
        <w:rPr>
          <w:rFonts w:cs="Times New Roman"/>
        </w:rPr>
        <w:t xml:space="preserve"> </w:t>
      </w:r>
      <w:r w:rsidR="00C56BD9" w:rsidRPr="00464352">
        <w:rPr>
          <w:rFonts w:cs="Times New Roman"/>
        </w:rPr>
        <w:t>enrollment?</w:t>
      </w:r>
    </w:p>
    <w:p w14:paraId="42AF13B3" w14:textId="23D4F4AB" w:rsidR="00A866B8" w:rsidRPr="00464352" w:rsidRDefault="00A866B8" w:rsidP="00A866B8">
      <w:pPr>
        <w:ind w:firstLine="720"/>
        <w:rPr>
          <w:rFonts w:cs="Times New Roman"/>
          <w:color w:val="000000" w:themeColor="text1"/>
          <w:szCs w:val="24"/>
        </w:rPr>
      </w:pPr>
      <w:r w:rsidRPr="00464352">
        <w:rPr>
          <w:rFonts w:cs="Times New Roman"/>
          <w:color w:val="000000" w:themeColor="text1"/>
          <w:szCs w:val="24"/>
        </w:rPr>
        <w:t>H</w:t>
      </w:r>
      <w:r w:rsidRPr="00464352">
        <w:rPr>
          <w:rFonts w:cs="Times New Roman"/>
          <w:color w:val="000000" w:themeColor="text1"/>
          <w:szCs w:val="24"/>
          <w:vertAlign w:val="subscript"/>
        </w:rPr>
        <w:t>o</w:t>
      </w:r>
      <w:r w:rsidRPr="00464352">
        <w:rPr>
          <w:rFonts w:cs="Times New Roman"/>
          <w:color w:val="000000" w:themeColor="text1"/>
          <w:szCs w:val="24"/>
        </w:rPr>
        <w:t xml:space="preserve">2: There is no significant difference </w:t>
      </w:r>
      <w:r w:rsidR="00C56BD9" w:rsidRPr="00464352">
        <w:rPr>
          <w:rFonts w:cs="Times New Roman"/>
        </w:rPr>
        <w:t>in the college GPA at the end of year one between first-time, full-time, community college students who completed at least one dual</w:t>
      </w:r>
      <w:r w:rsidR="00FB3ADC" w:rsidRPr="00464352">
        <w:rPr>
          <w:rFonts w:cs="Times New Roman"/>
        </w:rPr>
        <w:t xml:space="preserve"> </w:t>
      </w:r>
      <w:r w:rsidR="00C56BD9" w:rsidRPr="00464352">
        <w:rPr>
          <w:rFonts w:cs="Times New Roman"/>
        </w:rPr>
        <w:t xml:space="preserve">enrollment course in high school and those students </w:t>
      </w:r>
      <w:r w:rsidR="001C36D7" w:rsidRPr="00464352">
        <w:rPr>
          <w:rFonts w:cs="Times New Roman"/>
        </w:rPr>
        <w:t>who</w:t>
      </w:r>
      <w:r w:rsidR="00C56BD9" w:rsidRPr="00464352">
        <w:rPr>
          <w:rFonts w:cs="Times New Roman"/>
        </w:rPr>
        <w:t xml:space="preserve"> did not participate in dual</w:t>
      </w:r>
      <w:r w:rsidR="00FB3ADC" w:rsidRPr="00464352">
        <w:rPr>
          <w:rFonts w:cs="Times New Roman"/>
        </w:rPr>
        <w:t xml:space="preserve"> </w:t>
      </w:r>
      <w:r w:rsidR="00C56BD9" w:rsidRPr="00464352">
        <w:rPr>
          <w:rFonts w:cs="Times New Roman"/>
        </w:rPr>
        <w:t>enrollment</w:t>
      </w:r>
      <w:r w:rsidRPr="00464352">
        <w:rPr>
          <w:rFonts w:cs="Times New Roman"/>
          <w:color w:val="000000" w:themeColor="text1"/>
          <w:szCs w:val="24"/>
        </w:rPr>
        <w:t>.</w:t>
      </w:r>
    </w:p>
    <w:p w14:paraId="51938C39" w14:textId="46E04649" w:rsidR="00A866B8" w:rsidRPr="00464352" w:rsidRDefault="00A866B8" w:rsidP="00A42323">
      <w:pPr>
        <w:ind w:firstLine="720"/>
        <w:rPr>
          <w:rFonts w:cs="Times New Roman"/>
          <w:color w:val="000000" w:themeColor="text1"/>
          <w:szCs w:val="24"/>
        </w:rPr>
      </w:pPr>
      <w:bookmarkStart w:id="52" w:name="_Hlk205202383"/>
      <w:r w:rsidRPr="00464352">
        <w:rPr>
          <w:rFonts w:cs="Times New Roman"/>
          <w:color w:val="000000" w:themeColor="text1"/>
          <w:szCs w:val="24"/>
        </w:rPr>
        <w:t>Research Question 3:</w:t>
      </w:r>
      <w:r w:rsidR="00A42323" w:rsidRPr="00464352">
        <w:rPr>
          <w:rFonts w:cs="Times New Roman"/>
          <w:color w:val="000000" w:themeColor="text1"/>
          <w:szCs w:val="24"/>
        </w:rPr>
        <w:t xml:space="preserve"> Is </w:t>
      </w:r>
      <w:bookmarkStart w:id="53" w:name="_Hlk208761309"/>
      <w:r w:rsidR="00A42323" w:rsidRPr="00464352">
        <w:rPr>
          <w:rFonts w:cs="Times New Roman"/>
          <w:color w:val="000000" w:themeColor="text1"/>
          <w:szCs w:val="24"/>
        </w:rPr>
        <w:t xml:space="preserve">there a significant </w:t>
      </w:r>
      <w:r w:rsidR="00127357" w:rsidRPr="00464352">
        <w:rPr>
          <w:rFonts w:cs="Times New Roman"/>
          <w:color w:val="000000" w:themeColor="text1"/>
          <w:szCs w:val="24"/>
        </w:rPr>
        <w:t>difference in the enrollment status (part-time or full-time) between students that participated in dual enrollment while in high school and those students that did not participate in dual enrollment</w:t>
      </w:r>
      <w:r w:rsidR="00A42323" w:rsidRPr="00464352">
        <w:rPr>
          <w:rFonts w:cs="Times New Roman"/>
          <w:color w:val="000000" w:themeColor="text1"/>
          <w:szCs w:val="24"/>
        </w:rPr>
        <w:t>?</w:t>
      </w:r>
      <w:bookmarkEnd w:id="53"/>
    </w:p>
    <w:p w14:paraId="24774A83" w14:textId="7B921DF9" w:rsidR="00A866B8" w:rsidRPr="00464352" w:rsidRDefault="00A866B8" w:rsidP="00A866B8">
      <w:pPr>
        <w:rPr>
          <w:rFonts w:cs="Times New Roman"/>
          <w:color w:val="000000" w:themeColor="text1"/>
          <w:szCs w:val="24"/>
        </w:rPr>
      </w:pPr>
      <w:r w:rsidRPr="00464352">
        <w:rPr>
          <w:rFonts w:cs="Times New Roman"/>
          <w:color w:val="000000" w:themeColor="text1"/>
          <w:szCs w:val="24"/>
        </w:rPr>
        <w:tab/>
        <w:t>H</w:t>
      </w:r>
      <w:r w:rsidRPr="00464352">
        <w:rPr>
          <w:rFonts w:cs="Times New Roman"/>
          <w:color w:val="000000" w:themeColor="text1"/>
          <w:szCs w:val="24"/>
          <w:vertAlign w:val="subscript"/>
        </w:rPr>
        <w:t>o</w:t>
      </w:r>
      <w:r w:rsidRPr="00464352">
        <w:rPr>
          <w:rFonts w:cs="Times New Roman"/>
          <w:color w:val="000000" w:themeColor="text1"/>
          <w:szCs w:val="24"/>
        </w:rPr>
        <w:t xml:space="preserve">3: </w:t>
      </w:r>
      <w:r w:rsidR="00127357" w:rsidRPr="00464352">
        <w:rPr>
          <w:rFonts w:cs="Times New Roman"/>
          <w:color w:val="000000" w:themeColor="text1"/>
          <w:szCs w:val="24"/>
        </w:rPr>
        <w:t>There is no significant difference in the enrollment status (part-time or full-time) between students that participated in dual enrollment while in high school and those students that did not participate in dual enrollment</w:t>
      </w:r>
      <w:r w:rsidR="00A42323" w:rsidRPr="00464352">
        <w:rPr>
          <w:rFonts w:cs="Times New Roman"/>
          <w:color w:val="000000" w:themeColor="text1"/>
          <w:szCs w:val="24"/>
        </w:rPr>
        <w:t>?</w:t>
      </w:r>
    </w:p>
    <w:bookmarkEnd w:id="52"/>
    <w:p w14:paraId="0F725B56" w14:textId="327545CD" w:rsidR="00A866B8" w:rsidRPr="00464352" w:rsidRDefault="00A866B8" w:rsidP="00F51E8A">
      <w:pPr>
        <w:ind w:firstLine="720"/>
        <w:rPr>
          <w:rFonts w:cs="Times New Roman"/>
          <w:color w:val="000000" w:themeColor="text1"/>
          <w:szCs w:val="24"/>
        </w:rPr>
      </w:pPr>
      <w:r w:rsidRPr="00464352">
        <w:rPr>
          <w:rFonts w:cs="Times New Roman"/>
          <w:color w:val="000000" w:themeColor="text1"/>
          <w:szCs w:val="24"/>
        </w:rPr>
        <w:t xml:space="preserve">Research Question 4: </w:t>
      </w:r>
      <w:r w:rsidR="00F51E8A" w:rsidRPr="00464352">
        <w:rPr>
          <w:rFonts w:cs="Times New Roman"/>
        </w:rPr>
        <w:t>I</w:t>
      </w:r>
      <w:r w:rsidR="00F379CB" w:rsidRPr="00464352">
        <w:rPr>
          <w:rFonts w:cs="Times New Roman"/>
        </w:rPr>
        <w:t xml:space="preserve">s there a significant </w:t>
      </w:r>
      <w:r w:rsidR="00127357" w:rsidRPr="00464352">
        <w:rPr>
          <w:rFonts w:cs="Times New Roman"/>
        </w:rPr>
        <w:t>difference in retention rate (</w:t>
      </w:r>
      <w:r w:rsidR="00525B86" w:rsidRPr="00464352">
        <w:rPr>
          <w:rFonts w:cs="Times New Roman"/>
        </w:rPr>
        <w:t>f</w:t>
      </w:r>
      <w:r w:rsidR="00127357" w:rsidRPr="00464352">
        <w:rPr>
          <w:rFonts w:cs="Times New Roman"/>
        </w:rPr>
        <w:t xml:space="preserve">all to </w:t>
      </w:r>
      <w:r w:rsidR="00525B86" w:rsidRPr="00464352">
        <w:rPr>
          <w:rFonts w:cs="Times New Roman"/>
        </w:rPr>
        <w:t>s</w:t>
      </w:r>
      <w:r w:rsidR="00127357" w:rsidRPr="00464352">
        <w:rPr>
          <w:rFonts w:cs="Times New Roman"/>
        </w:rPr>
        <w:t>pring) between students who took dual enrollment while in high school and those students that did not participate in dual enrollment</w:t>
      </w:r>
      <w:r w:rsidR="00F51E8A" w:rsidRPr="00464352">
        <w:rPr>
          <w:rFonts w:cs="Times New Roman"/>
        </w:rPr>
        <w:t>?</w:t>
      </w:r>
    </w:p>
    <w:p w14:paraId="31269A41" w14:textId="7A42E816" w:rsidR="00A866B8" w:rsidRPr="00464352" w:rsidRDefault="00A866B8" w:rsidP="00C8636F">
      <w:pPr>
        <w:ind w:firstLine="720"/>
        <w:rPr>
          <w:rFonts w:cs="Times New Roman"/>
          <w:color w:val="000000" w:themeColor="text1"/>
          <w:szCs w:val="24"/>
        </w:rPr>
      </w:pPr>
      <w:r w:rsidRPr="00464352">
        <w:rPr>
          <w:rFonts w:cs="Times New Roman"/>
          <w:color w:val="000000" w:themeColor="text1"/>
          <w:szCs w:val="24"/>
        </w:rPr>
        <w:lastRenderedPageBreak/>
        <w:t>H</w:t>
      </w:r>
      <w:r w:rsidRPr="00464352">
        <w:rPr>
          <w:rFonts w:cs="Times New Roman"/>
          <w:color w:val="000000" w:themeColor="text1"/>
          <w:szCs w:val="24"/>
          <w:vertAlign w:val="subscript"/>
        </w:rPr>
        <w:t>o</w:t>
      </w:r>
      <w:r w:rsidRPr="00464352">
        <w:rPr>
          <w:rFonts w:cs="Times New Roman"/>
          <w:color w:val="000000" w:themeColor="text1"/>
          <w:szCs w:val="24"/>
        </w:rPr>
        <w:t xml:space="preserve">4: There is no </w:t>
      </w:r>
      <w:r w:rsidR="002201EF" w:rsidRPr="00464352">
        <w:rPr>
          <w:rFonts w:cs="Times New Roman"/>
        </w:rPr>
        <w:t>significant difference in retention rate (</w:t>
      </w:r>
      <w:r w:rsidR="00525B86" w:rsidRPr="00464352">
        <w:rPr>
          <w:rFonts w:cs="Times New Roman"/>
        </w:rPr>
        <w:t>f</w:t>
      </w:r>
      <w:r w:rsidR="002201EF" w:rsidRPr="00464352">
        <w:rPr>
          <w:rFonts w:cs="Times New Roman"/>
        </w:rPr>
        <w:t xml:space="preserve">all to </w:t>
      </w:r>
      <w:r w:rsidR="00525B86" w:rsidRPr="00464352">
        <w:rPr>
          <w:rFonts w:cs="Times New Roman"/>
        </w:rPr>
        <w:t>s</w:t>
      </w:r>
      <w:r w:rsidR="002201EF" w:rsidRPr="00464352">
        <w:rPr>
          <w:rFonts w:cs="Times New Roman"/>
        </w:rPr>
        <w:t>pring) between students who took dual enrollment while in high school and those students that did not participate in dual enrollment</w:t>
      </w:r>
      <w:r w:rsidRPr="00464352">
        <w:rPr>
          <w:rFonts w:cs="Times New Roman"/>
          <w:color w:val="000000" w:themeColor="text1"/>
          <w:szCs w:val="24"/>
        </w:rPr>
        <w:t>.</w:t>
      </w:r>
    </w:p>
    <w:p w14:paraId="30F8894E" w14:textId="22954374" w:rsidR="00A866B8" w:rsidRPr="00464352" w:rsidRDefault="00A866B8" w:rsidP="00C8636F">
      <w:pPr>
        <w:ind w:firstLine="720"/>
        <w:rPr>
          <w:rFonts w:cs="Times New Roman"/>
          <w:color w:val="000000" w:themeColor="text1"/>
          <w:szCs w:val="24"/>
        </w:rPr>
      </w:pPr>
      <w:r w:rsidRPr="00464352">
        <w:rPr>
          <w:rFonts w:cs="Times New Roman"/>
          <w:color w:val="000000" w:themeColor="text1"/>
          <w:szCs w:val="24"/>
        </w:rPr>
        <w:t xml:space="preserve">Research Question 5: </w:t>
      </w:r>
      <w:r w:rsidR="00C8636F" w:rsidRPr="00464352">
        <w:rPr>
          <w:rFonts w:cs="Times New Roman"/>
        </w:rPr>
        <w:t>I</w:t>
      </w:r>
      <w:r w:rsidR="00F379CB" w:rsidRPr="00464352">
        <w:rPr>
          <w:rFonts w:cs="Times New Roman"/>
        </w:rPr>
        <w:t xml:space="preserve">s there a significant </w:t>
      </w:r>
      <w:r w:rsidR="002201EF" w:rsidRPr="00464352">
        <w:rPr>
          <w:rFonts w:cs="Times New Roman"/>
        </w:rPr>
        <w:t>difference in retention rate (</w:t>
      </w:r>
      <w:r w:rsidR="00525B86" w:rsidRPr="00464352">
        <w:rPr>
          <w:rFonts w:cs="Times New Roman"/>
        </w:rPr>
        <w:t>f</w:t>
      </w:r>
      <w:r w:rsidR="002201EF" w:rsidRPr="00464352">
        <w:rPr>
          <w:rFonts w:cs="Times New Roman"/>
        </w:rPr>
        <w:t xml:space="preserve">all to </w:t>
      </w:r>
      <w:r w:rsidR="00525B86" w:rsidRPr="00464352">
        <w:rPr>
          <w:rFonts w:cs="Times New Roman"/>
        </w:rPr>
        <w:t>f</w:t>
      </w:r>
      <w:r w:rsidR="002201EF" w:rsidRPr="00464352">
        <w:rPr>
          <w:rFonts w:cs="Times New Roman"/>
        </w:rPr>
        <w:t>all) between students who took dual enrollment while in high school and those students that did not participate in dual enrollment</w:t>
      </w:r>
      <w:r w:rsidR="00C8636F" w:rsidRPr="00464352">
        <w:rPr>
          <w:rFonts w:cs="Times New Roman"/>
        </w:rPr>
        <w:t>?</w:t>
      </w:r>
    </w:p>
    <w:p w14:paraId="49B83912" w14:textId="0F426E6A" w:rsidR="00A866B8" w:rsidRPr="00464352" w:rsidRDefault="00A866B8" w:rsidP="00C8636F">
      <w:pPr>
        <w:ind w:firstLine="720"/>
        <w:rPr>
          <w:rFonts w:cs="Times New Roman"/>
          <w:color w:val="000000" w:themeColor="text1"/>
          <w:szCs w:val="24"/>
        </w:rPr>
      </w:pPr>
      <w:r w:rsidRPr="00464352">
        <w:rPr>
          <w:rFonts w:cs="Times New Roman"/>
          <w:color w:val="000000" w:themeColor="text1"/>
          <w:szCs w:val="24"/>
        </w:rPr>
        <w:t>H</w:t>
      </w:r>
      <w:r w:rsidRPr="00464352">
        <w:rPr>
          <w:rFonts w:cs="Times New Roman"/>
          <w:color w:val="000000" w:themeColor="text1"/>
          <w:szCs w:val="24"/>
          <w:vertAlign w:val="subscript"/>
        </w:rPr>
        <w:t>o</w:t>
      </w:r>
      <w:r w:rsidRPr="00464352">
        <w:rPr>
          <w:rFonts w:cs="Times New Roman"/>
          <w:color w:val="000000" w:themeColor="text1"/>
          <w:szCs w:val="24"/>
        </w:rPr>
        <w:t>5: There is no significant</w:t>
      </w:r>
      <w:r w:rsidR="002201EF" w:rsidRPr="00464352">
        <w:rPr>
          <w:rFonts w:cs="Times New Roman"/>
          <w:color w:val="000000" w:themeColor="text1"/>
          <w:szCs w:val="24"/>
        </w:rPr>
        <w:t xml:space="preserve"> </w:t>
      </w:r>
      <w:r w:rsidR="002201EF" w:rsidRPr="00464352">
        <w:rPr>
          <w:rFonts w:cs="Times New Roman"/>
        </w:rPr>
        <w:t>difference in retention rate (</w:t>
      </w:r>
      <w:r w:rsidR="00525B86" w:rsidRPr="00464352">
        <w:rPr>
          <w:rFonts w:cs="Times New Roman"/>
        </w:rPr>
        <w:t>f</w:t>
      </w:r>
      <w:r w:rsidR="002201EF" w:rsidRPr="00464352">
        <w:rPr>
          <w:rFonts w:cs="Times New Roman"/>
        </w:rPr>
        <w:t xml:space="preserve">all to </w:t>
      </w:r>
      <w:r w:rsidR="00525B86" w:rsidRPr="00464352">
        <w:rPr>
          <w:rFonts w:cs="Times New Roman"/>
        </w:rPr>
        <w:t>f</w:t>
      </w:r>
      <w:r w:rsidR="002201EF" w:rsidRPr="00464352">
        <w:rPr>
          <w:rFonts w:cs="Times New Roman"/>
        </w:rPr>
        <w:t>all) between students who took dual enrollment while in high school and those students that did not participate in dual enrollment</w:t>
      </w:r>
      <w:r w:rsidR="00C8636F" w:rsidRPr="00464352">
        <w:rPr>
          <w:rFonts w:cs="Times New Roman"/>
        </w:rPr>
        <w:t>.</w:t>
      </w:r>
    </w:p>
    <w:p w14:paraId="02567744" w14:textId="391428C0" w:rsidR="005D2F94" w:rsidRPr="00464352" w:rsidRDefault="005D2F94" w:rsidP="005D2F94">
      <w:pPr>
        <w:ind w:firstLine="720"/>
        <w:rPr>
          <w:rFonts w:cs="Times New Roman"/>
          <w:color w:val="000000" w:themeColor="text1"/>
          <w:szCs w:val="24"/>
        </w:rPr>
      </w:pPr>
      <w:r w:rsidRPr="00464352">
        <w:rPr>
          <w:rFonts w:cs="Times New Roman"/>
          <w:color w:val="000000" w:themeColor="text1"/>
          <w:szCs w:val="24"/>
        </w:rPr>
        <w:t xml:space="preserve">Research Question 6: </w:t>
      </w:r>
      <w:r w:rsidRPr="00464352">
        <w:rPr>
          <w:rFonts w:cs="Times New Roman"/>
        </w:rPr>
        <w:t>Is there a significant relationship between earning 30 or more semester credits during their first year of enrollment between dual enrollment status and non-dual enrollment status?</w:t>
      </w:r>
    </w:p>
    <w:p w14:paraId="4A2A24E0" w14:textId="77777777" w:rsidR="005D2F94" w:rsidRPr="00464352" w:rsidRDefault="005D2F94" w:rsidP="005D2F94">
      <w:pPr>
        <w:ind w:firstLine="720"/>
        <w:rPr>
          <w:rFonts w:cs="Times New Roman"/>
        </w:rPr>
      </w:pPr>
      <w:r w:rsidRPr="00464352">
        <w:rPr>
          <w:rFonts w:cs="Times New Roman"/>
          <w:color w:val="000000" w:themeColor="text1"/>
          <w:szCs w:val="24"/>
        </w:rPr>
        <w:t>H</w:t>
      </w:r>
      <w:r w:rsidRPr="00464352">
        <w:rPr>
          <w:rFonts w:cs="Times New Roman"/>
          <w:color w:val="000000" w:themeColor="text1"/>
          <w:szCs w:val="24"/>
          <w:vertAlign w:val="subscript"/>
        </w:rPr>
        <w:t>o</w:t>
      </w:r>
      <w:r w:rsidRPr="00464352">
        <w:rPr>
          <w:rFonts w:cs="Times New Roman"/>
          <w:color w:val="000000" w:themeColor="text1"/>
          <w:szCs w:val="24"/>
        </w:rPr>
        <w:t xml:space="preserve">6: There is no significant relationship between </w:t>
      </w:r>
      <w:r w:rsidRPr="00464352">
        <w:rPr>
          <w:rFonts w:cs="Times New Roman"/>
        </w:rPr>
        <w:t>earning 30 or more semester credits during their first year of enrollment between dual enrollment status and non-dual enrollment status.</w:t>
      </w:r>
    </w:p>
    <w:p w14:paraId="09226900" w14:textId="39E87165" w:rsidR="000A3CE5" w:rsidRPr="00464352" w:rsidRDefault="000A3CE5" w:rsidP="006E0F99">
      <w:pPr>
        <w:ind w:firstLine="720"/>
        <w:rPr>
          <w:rFonts w:cs="Times New Roman"/>
          <w:color w:val="000000" w:themeColor="text1"/>
          <w:szCs w:val="24"/>
        </w:rPr>
      </w:pPr>
      <w:r w:rsidRPr="00464352">
        <w:rPr>
          <w:rFonts w:cs="Times New Roman"/>
          <w:color w:val="000000" w:themeColor="text1"/>
          <w:szCs w:val="24"/>
        </w:rPr>
        <w:t xml:space="preserve">Research Question 7: </w:t>
      </w:r>
      <w:r w:rsidRPr="00464352">
        <w:rPr>
          <w:rFonts w:cs="Times New Roman"/>
        </w:rPr>
        <w:t xml:space="preserve">Is there a significant </w:t>
      </w:r>
      <w:r w:rsidR="002201EF" w:rsidRPr="00464352">
        <w:rPr>
          <w:rFonts w:cs="Times New Roman"/>
        </w:rPr>
        <w:t>difference in the number of academic credits earned at the end of their freshman year between students that participated in dual enrollment and students that did not participate in dual enrollment while in high school</w:t>
      </w:r>
      <w:r w:rsidRPr="00464352">
        <w:rPr>
          <w:rFonts w:cs="Times New Roman"/>
          <w:color w:val="000000" w:themeColor="text1"/>
          <w:szCs w:val="24"/>
        </w:rPr>
        <w:t>?</w:t>
      </w:r>
    </w:p>
    <w:p w14:paraId="703CE322" w14:textId="10F429B6" w:rsidR="00BF3539" w:rsidRPr="00440C73" w:rsidRDefault="00BF3539" w:rsidP="00BF3539">
      <w:pPr>
        <w:ind w:firstLine="720"/>
        <w:rPr>
          <w:rFonts w:cs="Times New Roman"/>
          <w:color w:val="000000" w:themeColor="text1"/>
          <w:szCs w:val="24"/>
        </w:rPr>
      </w:pPr>
      <w:r w:rsidRPr="00464352">
        <w:rPr>
          <w:rFonts w:cs="Times New Roman"/>
          <w:color w:val="000000" w:themeColor="text1"/>
          <w:szCs w:val="24"/>
        </w:rPr>
        <w:t>H</w:t>
      </w:r>
      <w:r w:rsidRPr="00464352">
        <w:rPr>
          <w:rFonts w:cs="Times New Roman"/>
          <w:color w:val="000000" w:themeColor="text1"/>
          <w:szCs w:val="24"/>
          <w:vertAlign w:val="subscript"/>
        </w:rPr>
        <w:t>o</w:t>
      </w:r>
      <w:r w:rsidRPr="00464352">
        <w:rPr>
          <w:rFonts w:cs="Times New Roman"/>
          <w:color w:val="000000" w:themeColor="text1"/>
          <w:szCs w:val="24"/>
        </w:rPr>
        <w:t xml:space="preserve">7: There is no significant </w:t>
      </w:r>
      <w:r w:rsidR="002201EF" w:rsidRPr="00464352">
        <w:rPr>
          <w:rFonts w:cs="Times New Roman"/>
        </w:rPr>
        <w:t>difference in the number of academic credits earned at the end of their freshman year between students that participated in dual enrollment and students that did not participate in dual enrollment while in high school</w:t>
      </w:r>
      <w:r w:rsidR="000A3CE5" w:rsidRPr="00464352">
        <w:rPr>
          <w:rFonts w:cs="Times New Roman"/>
          <w:color w:val="000000" w:themeColor="text1"/>
          <w:szCs w:val="24"/>
        </w:rPr>
        <w:t>.</w:t>
      </w:r>
    </w:p>
    <w:p w14:paraId="55C883A9" w14:textId="233CD92D" w:rsidR="00A866B8" w:rsidRPr="00440C73" w:rsidRDefault="00077D93" w:rsidP="00A866B8">
      <w:pPr>
        <w:pStyle w:val="Heading3"/>
        <w:rPr>
          <w:rFonts w:cs="Times New Roman"/>
        </w:rPr>
      </w:pPr>
      <w:bookmarkStart w:id="54" w:name="_Hlk160096649"/>
      <w:bookmarkStart w:id="55" w:name="_Toc224458901"/>
      <w:bookmarkEnd w:id="51"/>
      <w:bookmarkEnd w:id="49"/>
      <w:r w:rsidRPr="00440C73">
        <w:rPr>
          <w:rFonts w:cs="Times New Roman"/>
        </w:rPr>
        <w:lastRenderedPageBreak/>
        <w:t>Data Source</w:t>
      </w:r>
      <w:bookmarkEnd w:id="55"/>
    </w:p>
    <w:bookmarkEnd w:id="54"/>
    <w:p w14:paraId="086FDF96" w14:textId="0141F908" w:rsidR="00A866B8" w:rsidRPr="00A866B8" w:rsidRDefault="00A866B8" w:rsidP="00A866B8">
      <w:pPr>
        <w:ind w:firstLine="720"/>
        <w:rPr>
          <w:rFonts w:cs="Times New Roman"/>
          <w:color w:val="000000" w:themeColor="text1"/>
          <w:spacing w:val="3"/>
          <w:szCs w:val="24"/>
        </w:rPr>
      </w:pPr>
      <w:r w:rsidRPr="00440C73">
        <w:rPr>
          <w:rFonts w:cs="Times New Roman"/>
          <w:color w:val="000000" w:themeColor="text1"/>
          <w:spacing w:val="3"/>
          <w:szCs w:val="24"/>
        </w:rPr>
        <w:t xml:space="preserve">This quantitative research data source </w:t>
      </w:r>
      <w:r w:rsidR="00506264" w:rsidRPr="00440C73">
        <w:rPr>
          <w:rFonts w:cs="Times New Roman"/>
          <w:color w:val="000000" w:themeColor="text1"/>
          <w:spacing w:val="3"/>
          <w:szCs w:val="24"/>
        </w:rPr>
        <w:t>was the</w:t>
      </w:r>
      <w:r w:rsidRPr="00440C73">
        <w:rPr>
          <w:rFonts w:cs="Times New Roman"/>
          <w:color w:val="000000" w:themeColor="text1"/>
          <w:spacing w:val="3"/>
          <w:szCs w:val="24"/>
        </w:rPr>
        <w:t xml:space="preserve"> use of archival</w:t>
      </w:r>
      <w:r w:rsidRPr="00A866B8">
        <w:rPr>
          <w:rFonts w:cs="Times New Roman"/>
          <w:color w:val="000000" w:themeColor="text1"/>
          <w:spacing w:val="3"/>
          <w:szCs w:val="24"/>
        </w:rPr>
        <w:t xml:space="preserve"> data</w:t>
      </w:r>
      <w:r w:rsidR="00506264">
        <w:rPr>
          <w:rFonts w:cs="Times New Roman"/>
          <w:color w:val="000000" w:themeColor="text1"/>
          <w:spacing w:val="3"/>
          <w:szCs w:val="24"/>
        </w:rPr>
        <w:t xml:space="preserve"> through a Tennessee community</w:t>
      </w:r>
      <w:r w:rsidRPr="00A866B8">
        <w:rPr>
          <w:rFonts w:cs="Times New Roman"/>
          <w:color w:val="000000" w:themeColor="text1"/>
          <w:spacing w:val="3"/>
          <w:szCs w:val="24"/>
        </w:rPr>
        <w:t xml:space="preserve"> </w:t>
      </w:r>
      <w:bookmarkStart w:id="56" w:name="_Hlk133745652"/>
      <w:r w:rsidRPr="00A866B8">
        <w:rPr>
          <w:rFonts w:cs="Times New Roman"/>
          <w:color w:val="000000" w:themeColor="text1"/>
          <w:spacing w:val="3"/>
          <w:szCs w:val="24"/>
        </w:rPr>
        <w:t>college’s office of Institutional Effectiveness and Compliance (IEC)</w:t>
      </w:r>
      <w:r w:rsidR="00320E5A">
        <w:rPr>
          <w:rFonts w:cs="Times New Roman"/>
          <w:color w:val="000000" w:themeColor="text1"/>
          <w:spacing w:val="3"/>
          <w:szCs w:val="24"/>
        </w:rPr>
        <w:t>.</w:t>
      </w:r>
      <w:r w:rsidR="00506264">
        <w:rPr>
          <w:rFonts w:cs="Times New Roman"/>
          <w:color w:val="000000" w:themeColor="text1"/>
          <w:spacing w:val="3"/>
          <w:szCs w:val="24"/>
        </w:rPr>
        <w:t xml:space="preserve"> </w:t>
      </w:r>
      <w:r w:rsidR="00320E5A">
        <w:rPr>
          <w:rFonts w:cs="Times New Roman"/>
          <w:color w:val="000000" w:themeColor="text1"/>
          <w:spacing w:val="3"/>
          <w:szCs w:val="24"/>
        </w:rPr>
        <w:t>The IEC uses</w:t>
      </w:r>
      <w:r w:rsidRPr="00A866B8">
        <w:rPr>
          <w:rFonts w:cs="Times New Roman"/>
          <w:color w:val="000000" w:themeColor="text1"/>
          <w:spacing w:val="3"/>
          <w:szCs w:val="24"/>
        </w:rPr>
        <w:t xml:space="preserve"> the B</w:t>
      </w:r>
      <w:r w:rsidR="00B41227">
        <w:rPr>
          <w:rFonts w:cs="Times New Roman"/>
          <w:color w:val="000000" w:themeColor="text1"/>
          <w:spacing w:val="3"/>
          <w:szCs w:val="24"/>
        </w:rPr>
        <w:t>ANNER</w:t>
      </w:r>
      <w:r w:rsidRPr="00A866B8">
        <w:rPr>
          <w:rFonts w:cs="Times New Roman"/>
          <w:color w:val="000000" w:themeColor="text1"/>
          <w:spacing w:val="3"/>
          <w:szCs w:val="24"/>
        </w:rPr>
        <w:t xml:space="preserve"> Student Information System </w:t>
      </w:r>
      <w:r w:rsidR="00506264">
        <w:rPr>
          <w:rFonts w:cs="Times New Roman"/>
          <w:color w:val="000000" w:themeColor="text1"/>
          <w:spacing w:val="3"/>
          <w:szCs w:val="24"/>
        </w:rPr>
        <w:t xml:space="preserve">(SIS) </w:t>
      </w:r>
      <w:r w:rsidRPr="00A866B8">
        <w:rPr>
          <w:rFonts w:cs="Times New Roman"/>
          <w:color w:val="000000" w:themeColor="text1"/>
          <w:spacing w:val="3"/>
          <w:szCs w:val="24"/>
        </w:rPr>
        <w:t>as well as the Institutional Fact Book.</w:t>
      </w:r>
      <w:bookmarkEnd w:id="56"/>
      <w:r w:rsidRPr="00A866B8">
        <w:rPr>
          <w:rFonts w:cs="Times New Roman"/>
          <w:color w:val="000000" w:themeColor="text1"/>
          <w:spacing w:val="3"/>
          <w:szCs w:val="24"/>
        </w:rPr>
        <w:t xml:space="preserve"> </w:t>
      </w:r>
      <w:r w:rsidR="009B7A2F">
        <w:rPr>
          <w:rFonts w:cs="Times New Roman"/>
          <w:color w:val="000000" w:themeColor="text1"/>
          <w:spacing w:val="3"/>
          <w:szCs w:val="24"/>
        </w:rPr>
        <w:t xml:space="preserve">The BANNER database system is a secure database system of the </w:t>
      </w:r>
      <w:r w:rsidR="00506264">
        <w:rPr>
          <w:rFonts w:cs="Times New Roman"/>
          <w:color w:val="000000" w:themeColor="text1"/>
          <w:spacing w:val="3"/>
          <w:szCs w:val="24"/>
        </w:rPr>
        <w:t>Tennessee Board of Regents (</w:t>
      </w:r>
      <w:r w:rsidR="009B7A2F">
        <w:rPr>
          <w:rFonts w:cs="Times New Roman"/>
          <w:color w:val="000000" w:themeColor="text1"/>
          <w:spacing w:val="3"/>
          <w:szCs w:val="24"/>
        </w:rPr>
        <w:t>TBR</w:t>
      </w:r>
      <w:r w:rsidR="00506264">
        <w:rPr>
          <w:rFonts w:cs="Times New Roman"/>
          <w:color w:val="000000" w:themeColor="text1"/>
          <w:spacing w:val="3"/>
          <w:szCs w:val="24"/>
        </w:rPr>
        <w:t>)</w:t>
      </w:r>
      <w:r w:rsidR="009B7A2F">
        <w:rPr>
          <w:rFonts w:cs="Times New Roman"/>
          <w:color w:val="000000" w:themeColor="text1"/>
          <w:spacing w:val="3"/>
          <w:szCs w:val="24"/>
        </w:rPr>
        <w:t>. This ensure</w:t>
      </w:r>
      <w:r w:rsidR="00506264">
        <w:rPr>
          <w:rFonts w:cs="Times New Roman"/>
          <w:color w:val="000000" w:themeColor="text1"/>
          <w:spacing w:val="3"/>
          <w:szCs w:val="24"/>
        </w:rPr>
        <w:t>d</w:t>
      </w:r>
      <w:r w:rsidR="009B7A2F">
        <w:rPr>
          <w:rFonts w:cs="Times New Roman"/>
          <w:color w:val="000000" w:themeColor="text1"/>
          <w:spacing w:val="3"/>
          <w:szCs w:val="24"/>
        </w:rPr>
        <w:t xml:space="preserve"> secure, reliable, and valid data for this research. </w:t>
      </w:r>
      <w:r w:rsidR="00605F80">
        <w:rPr>
          <w:rFonts w:cs="Times New Roman"/>
          <w:color w:val="000000" w:themeColor="text1"/>
          <w:spacing w:val="3"/>
          <w:szCs w:val="24"/>
        </w:rPr>
        <w:t xml:space="preserve">Data are regarded as accurate due to official records that were maintained by the college. </w:t>
      </w:r>
      <w:r w:rsidR="00506264">
        <w:rPr>
          <w:rFonts w:cs="Times New Roman"/>
          <w:color w:val="000000" w:themeColor="text1"/>
          <w:spacing w:val="3"/>
          <w:szCs w:val="24"/>
        </w:rPr>
        <w:t>T</w:t>
      </w:r>
      <w:r w:rsidR="009B7A2F">
        <w:rPr>
          <w:rFonts w:cs="Times New Roman"/>
          <w:color w:val="000000" w:themeColor="text1"/>
          <w:szCs w:val="24"/>
        </w:rPr>
        <w:t xml:space="preserve">he current version of SPSS 30 </w:t>
      </w:r>
      <w:r w:rsidR="00506264">
        <w:rPr>
          <w:rFonts w:cs="Times New Roman"/>
          <w:color w:val="000000" w:themeColor="text1"/>
          <w:szCs w:val="24"/>
        </w:rPr>
        <w:t>was used for</w:t>
      </w:r>
      <w:r w:rsidR="0060606E">
        <w:rPr>
          <w:rFonts w:cs="Times New Roman"/>
          <w:color w:val="000000" w:themeColor="text1"/>
          <w:szCs w:val="24"/>
        </w:rPr>
        <w:t xml:space="preserve"> </w:t>
      </w:r>
      <w:r w:rsidR="009B7A2F">
        <w:rPr>
          <w:rFonts w:cs="Times New Roman"/>
          <w:color w:val="000000" w:themeColor="text1"/>
          <w:szCs w:val="24"/>
        </w:rPr>
        <w:t xml:space="preserve">statistical software. </w:t>
      </w:r>
      <w:r w:rsidR="00320E5A">
        <w:rPr>
          <w:rFonts w:cs="Times New Roman"/>
          <w:color w:val="000000" w:themeColor="text1"/>
          <w:spacing w:val="3"/>
          <w:szCs w:val="24"/>
        </w:rPr>
        <w:t>I</w:t>
      </w:r>
      <w:r w:rsidRPr="00A866B8">
        <w:rPr>
          <w:rFonts w:cs="Times New Roman"/>
          <w:color w:val="000000" w:themeColor="text1"/>
          <w:spacing w:val="3"/>
          <w:szCs w:val="24"/>
        </w:rPr>
        <w:t xml:space="preserve"> track</w:t>
      </w:r>
      <w:r w:rsidR="00506264">
        <w:rPr>
          <w:rFonts w:cs="Times New Roman"/>
          <w:color w:val="000000" w:themeColor="text1"/>
          <w:spacing w:val="3"/>
          <w:szCs w:val="24"/>
        </w:rPr>
        <w:t>ed</w:t>
      </w:r>
      <w:r w:rsidRPr="00A866B8">
        <w:rPr>
          <w:rFonts w:cs="Times New Roman"/>
          <w:color w:val="000000" w:themeColor="text1"/>
          <w:spacing w:val="3"/>
          <w:szCs w:val="24"/>
        </w:rPr>
        <w:t xml:space="preserve"> student cohorts on the 150% of normal time graduation rate calculated through the college</w:t>
      </w:r>
      <w:r w:rsidR="0060606E">
        <w:rPr>
          <w:rFonts w:cs="Times New Roman"/>
          <w:color w:val="000000" w:themeColor="text1"/>
          <w:spacing w:val="3"/>
          <w:szCs w:val="24"/>
        </w:rPr>
        <w:t>,</w:t>
      </w:r>
      <w:r w:rsidRPr="00A866B8">
        <w:rPr>
          <w:rFonts w:cs="Times New Roman"/>
          <w:color w:val="000000" w:themeColor="text1"/>
          <w:spacing w:val="3"/>
          <w:szCs w:val="24"/>
        </w:rPr>
        <w:t xml:space="preserve"> which refers to those students graduating within three years with an associate degree</w:t>
      </w:r>
      <w:r w:rsidR="00B21D00">
        <w:rPr>
          <w:rFonts w:cs="Times New Roman"/>
          <w:color w:val="000000" w:themeColor="text1"/>
          <w:spacing w:val="3"/>
          <w:szCs w:val="24"/>
        </w:rPr>
        <w:t xml:space="preserve"> or certificate</w:t>
      </w:r>
      <w:r w:rsidRPr="00A866B8">
        <w:rPr>
          <w:rFonts w:cs="Times New Roman"/>
          <w:color w:val="000000" w:themeColor="text1"/>
          <w:spacing w:val="3"/>
          <w:szCs w:val="24"/>
        </w:rPr>
        <w:t xml:space="preserve">. </w:t>
      </w:r>
      <w:r w:rsidR="00A378B6">
        <w:rPr>
          <w:rFonts w:cs="Times New Roman"/>
          <w:color w:val="000000" w:themeColor="text1"/>
          <w:spacing w:val="3"/>
          <w:szCs w:val="24"/>
        </w:rPr>
        <w:t>Because of</w:t>
      </w:r>
      <w:r w:rsidRPr="00A866B8">
        <w:rPr>
          <w:rFonts w:cs="Times New Roman"/>
          <w:color w:val="000000" w:themeColor="text1"/>
          <w:spacing w:val="3"/>
          <w:szCs w:val="24"/>
        </w:rPr>
        <w:t xml:space="preserve"> the use of archival data from the Banner database system</w:t>
      </w:r>
      <w:r w:rsidR="005C64BA">
        <w:rPr>
          <w:rFonts w:cs="Times New Roman"/>
          <w:color w:val="000000" w:themeColor="text1"/>
          <w:spacing w:val="3"/>
          <w:szCs w:val="24"/>
        </w:rPr>
        <w:t>,</w:t>
      </w:r>
      <w:r w:rsidRPr="00A866B8">
        <w:rPr>
          <w:rFonts w:cs="Times New Roman"/>
          <w:color w:val="000000" w:themeColor="text1"/>
          <w:spacing w:val="3"/>
          <w:szCs w:val="24"/>
        </w:rPr>
        <w:t xml:space="preserve"> data </w:t>
      </w:r>
      <w:r w:rsidR="00506264">
        <w:rPr>
          <w:rFonts w:cs="Times New Roman"/>
          <w:color w:val="000000" w:themeColor="text1"/>
          <w:spacing w:val="3"/>
          <w:szCs w:val="24"/>
        </w:rPr>
        <w:t>w</w:t>
      </w:r>
      <w:r w:rsidR="00320E5A">
        <w:rPr>
          <w:rFonts w:cs="Times New Roman"/>
          <w:color w:val="000000" w:themeColor="text1"/>
          <w:spacing w:val="3"/>
          <w:szCs w:val="24"/>
        </w:rPr>
        <w:t>ere</w:t>
      </w:r>
      <w:r w:rsidRPr="00A866B8">
        <w:rPr>
          <w:rFonts w:cs="Times New Roman"/>
          <w:color w:val="000000" w:themeColor="text1"/>
          <w:spacing w:val="3"/>
          <w:szCs w:val="24"/>
        </w:rPr>
        <w:t xml:space="preserve"> secure, consistent, and reliable for the study. Information w</w:t>
      </w:r>
      <w:r w:rsidR="00506264">
        <w:rPr>
          <w:rFonts w:cs="Times New Roman"/>
          <w:color w:val="000000" w:themeColor="text1"/>
          <w:spacing w:val="3"/>
          <w:szCs w:val="24"/>
        </w:rPr>
        <w:t>as</w:t>
      </w:r>
      <w:r w:rsidRPr="00A866B8">
        <w:rPr>
          <w:rFonts w:cs="Times New Roman"/>
          <w:color w:val="000000" w:themeColor="text1"/>
          <w:spacing w:val="3"/>
          <w:szCs w:val="24"/>
        </w:rPr>
        <w:t xml:space="preserve"> </w:t>
      </w:r>
      <w:r w:rsidR="0060606E" w:rsidRPr="00A866B8">
        <w:rPr>
          <w:rFonts w:cs="Times New Roman"/>
          <w:color w:val="000000" w:themeColor="text1"/>
          <w:spacing w:val="3"/>
          <w:szCs w:val="24"/>
        </w:rPr>
        <w:t>coded</w:t>
      </w:r>
      <w:r w:rsidR="0060606E">
        <w:rPr>
          <w:rFonts w:cs="Times New Roman"/>
          <w:color w:val="000000" w:themeColor="text1"/>
          <w:spacing w:val="3"/>
          <w:szCs w:val="24"/>
        </w:rPr>
        <w:t>;</w:t>
      </w:r>
      <w:r w:rsidRPr="00A866B8">
        <w:rPr>
          <w:rFonts w:cs="Times New Roman"/>
          <w:color w:val="000000" w:themeColor="text1"/>
          <w:spacing w:val="3"/>
          <w:szCs w:val="24"/>
        </w:rPr>
        <w:t xml:space="preserve"> </w:t>
      </w:r>
      <w:r w:rsidR="0060606E" w:rsidRPr="00A866B8">
        <w:rPr>
          <w:rFonts w:cs="Times New Roman"/>
          <w:color w:val="000000" w:themeColor="text1"/>
          <w:spacing w:val="3"/>
          <w:szCs w:val="24"/>
        </w:rPr>
        <w:t>therefore,</w:t>
      </w:r>
      <w:r w:rsidRPr="00A866B8">
        <w:rPr>
          <w:rFonts w:cs="Times New Roman"/>
          <w:color w:val="000000" w:themeColor="text1"/>
          <w:spacing w:val="3"/>
          <w:szCs w:val="24"/>
        </w:rPr>
        <w:t xml:space="preserve"> no personal identifiable information w</w:t>
      </w:r>
      <w:r w:rsidR="00506264">
        <w:rPr>
          <w:rFonts w:cs="Times New Roman"/>
          <w:color w:val="000000" w:themeColor="text1"/>
          <w:spacing w:val="3"/>
          <w:szCs w:val="24"/>
        </w:rPr>
        <w:t>as</w:t>
      </w:r>
      <w:r w:rsidRPr="00A866B8">
        <w:rPr>
          <w:rFonts w:cs="Times New Roman"/>
          <w:color w:val="000000" w:themeColor="text1"/>
          <w:spacing w:val="3"/>
          <w:szCs w:val="24"/>
        </w:rPr>
        <w:t xml:space="preserve"> used.</w:t>
      </w:r>
      <w:r w:rsidR="00605F80">
        <w:rPr>
          <w:rFonts w:cs="Times New Roman"/>
          <w:color w:val="000000" w:themeColor="text1"/>
          <w:spacing w:val="3"/>
          <w:szCs w:val="24"/>
        </w:rPr>
        <w:t xml:space="preserve"> To guarantee the security and privacy of the received data, data files were kept on a password-protected computer. </w:t>
      </w:r>
    </w:p>
    <w:p w14:paraId="46E13444" w14:textId="038D6740" w:rsidR="00A866B8" w:rsidRDefault="00A866B8" w:rsidP="00A866B8">
      <w:pPr>
        <w:pStyle w:val="Heading3"/>
        <w:rPr>
          <w:rFonts w:cs="Times New Roman"/>
        </w:rPr>
      </w:pPr>
      <w:bookmarkStart w:id="57" w:name="_Toc224458902"/>
      <w:r>
        <w:rPr>
          <w:rFonts w:cs="Times New Roman"/>
        </w:rPr>
        <w:t>Population</w:t>
      </w:r>
      <w:bookmarkEnd w:id="57"/>
    </w:p>
    <w:p w14:paraId="12ED4AC9" w14:textId="03A51B4F" w:rsidR="00A866B8" w:rsidRPr="00201978" w:rsidRDefault="00A866B8" w:rsidP="00201978">
      <w:pPr>
        <w:spacing w:after="160"/>
        <w:ind w:firstLine="720"/>
        <w:rPr>
          <w:rFonts w:cs="Times New Roman"/>
          <w:color w:val="000000" w:themeColor="text1"/>
          <w:szCs w:val="24"/>
        </w:rPr>
      </w:pPr>
      <w:r w:rsidRPr="00A866B8">
        <w:rPr>
          <w:rFonts w:eastAsia="Times New Roman" w:cs="Times New Roman"/>
          <w:color w:val="000000" w:themeColor="text1"/>
          <w:spacing w:val="3"/>
          <w:szCs w:val="24"/>
        </w:rPr>
        <w:t>The population for this study included</w:t>
      </w:r>
      <w:r w:rsidRPr="00A866B8">
        <w:rPr>
          <w:rFonts w:cs="Times New Roman"/>
          <w:color w:val="000000" w:themeColor="text1"/>
          <w:spacing w:val="3"/>
          <w:szCs w:val="24"/>
        </w:rPr>
        <w:t xml:space="preserve"> first-time, full-time students at a </w:t>
      </w:r>
      <w:r w:rsidR="00EC4A61">
        <w:rPr>
          <w:rFonts w:cs="Times New Roman"/>
          <w:color w:val="000000" w:themeColor="text1"/>
          <w:spacing w:val="3"/>
          <w:szCs w:val="24"/>
        </w:rPr>
        <w:t xml:space="preserve">Tennessee </w:t>
      </w:r>
      <w:r w:rsidRPr="00A866B8">
        <w:rPr>
          <w:rFonts w:cs="Times New Roman"/>
          <w:color w:val="000000" w:themeColor="text1"/>
          <w:spacing w:val="3"/>
          <w:szCs w:val="24"/>
        </w:rPr>
        <w:t>community college</w:t>
      </w:r>
      <w:r w:rsidR="00AC23B0">
        <w:rPr>
          <w:rFonts w:cs="Times New Roman"/>
          <w:color w:val="000000" w:themeColor="text1"/>
          <w:spacing w:val="3"/>
          <w:szCs w:val="24"/>
        </w:rPr>
        <w:t>, governed by the Tennessee Board of Regents.</w:t>
      </w:r>
      <w:r w:rsidRPr="00A866B8">
        <w:rPr>
          <w:rFonts w:cs="Times New Roman"/>
          <w:color w:val="000000" w:themeColor="text1"/>
          <w:spacing w:val="3"/>
          <w:szCs w:val="24"/>
        </w:rPr>
        <w:t xml:space="preserve"> </w:t>
      </w:r>
      <w:r w:rsidR="00AC23B0">
        <w:rPr>
          <w:rFonts w:cs="Times New Roman"/>
          <w:color w:val="000000" w:themeColor="text1"/>
          <w:spacing w:val="3"/>
          <w:szCs w:val="24"/>
        </w:rPr>
        <w:t>Data were limited to students who</w:t>
      </w:r>
      <w:r w:rsidRPr="00A866B8">
        <w:rPr>
          <w:rFonts w:cs="Times New Roman"/>
          <w:color w:val="000000" w:themeColor="text1"/>
          <w:spacing w:val="3"/>
          <w:szCs w:val="24"/>
        </w:rPr>
        <w:t xml:space="preserve"> completed at least one dual-enrollment course compared to those students who did not complete at least one dual enrollment course. The study </w:t>
      </w:r>
      <w:r w:rsidR="00AC23B0">
        <w:rPr>
          <w:rFonts w:cs="Times New Roman"/>
          <w:color w:val="000000" w:themeColor="text1"/>
          <w:spacing w:val="3"/>
          <w:szCs w:val="24"/>
        </w:rPr>
        <w:t>used</w:t>
      </w:r>
      <w:r w:rsidRPr="00A866B8">
        <w:rPr>
          <w:rFonts w:cs="Times New Roman"/>
          <w:color w:val="000000" w:themeColor="text1"/>
          <w:spacing w:val="3"/>
          <w:szCs w:val="24"/>
        </w:rPr>
        <w:t xml:space="preserve"> the 2017, 2018, 2019, 2020</w:t>
      </w:r>
      <w:r w:rsidR="0038218C">
        <w:rPr>
          <w:rFonts w:cs="Times New Roman"/>
          <w:color w:val="000000" w:themeColor="text1"/>
          <w:spacing w:val="3"/>
          <w:szCs w:val="24"/>
        </w:rPr>
        <w:t>, and 2021</w:t>
      </w:r>
      <w:r w:rsidRPr="00A866B8">
        <w:rPr>
          <w:rFonts w:cs="Times New Roman"/>
          <w:color w:val="000000" w:themeColor="text1"/>
          <w:spacing w:val="3"/>
          <w:szCs w:val="24"/>
        </w:rPr>
        <w:t xml:space="preserve"> cohorts which include</w:t>
      </w:r>
      <w:r w:rsidR="00AC23B0">
        <w:rPr>
          <w:rFonts w:cs="Times New Roman"/>
          <w:color w:val="000000" w:themeColor="text1"/>
          <w:spacing w:val="3"/>
          <w:szCs w:val="24"/>
        </w:rPr>
        <w:t>d</w:t>
      </w:r>
      <w:r w:rsidRPr="00A866B8">
        <w:rPr>
          <w:rFonts w:cs="Times New Roman"/>
          <w:color w:val="000000" w:themeColor="text1"/>
          <w:spacing w:val="3"/>
          <w:szCs w:val="24"/>
        </w:rPr>
        <w:t xml:space="preserve"> </w:t>
      </w:r>
      <w:bookmarkStart w:id="58" w:name="_Hlk160190133"/>
      <w:r w:rsidR="0038218C">
        <w:rPr>
          <w:rFonts w:cs="Times New Roman"/>
          <w:color w:val="000000" w:themeColor="text1"/>
          <w:spacing w:val="3"/>
          <w:szCs w:val="24"/>
        </w:rPr>
        <w:t>6,9</w:t>
      </w:r>
      <w:r w:rsidRPr="00A866B8">
        <w:rPr>
          <w:rFonts w:cs="Times New Roman"/>
          <w:color w:val="000000" w:themeColor="text1"/>
          <w:spacing w:val="3"/>
          <w:szCs w:val="24"/>
        </w:rPr>
        <w:t>6</w:t>
      </w:r>
      <w:r w:rsidR="0038218C">
        <w:rPr>
          <w:rFonts w:cs="Times New Roman"/>
          <w:color w:val="000000" w:themeColor="text1"/>
          <w:spacing w:val="3"/>
          <w:szCs w:val="24"/>
        </w:rPr>
        <w:t>9</w:t>
      </w:r>
      <w:r w:rsidRPr="00A866B8">
        <w:rPr>
          <w:rFonts w:cs="Times New Roman"/>
          <w:color w:val="000000" w:themeColor="text1"/>
          <w:spacing w:val="3"/>
          <w:szCs w:val="24"/>
        </w:rPr>
        <w:t xml:space="preserve"> </w:t>
      </w:r>
      <w:bookmarkEnd w:id="58"/>
      <w:r w:rsidRPr="00A866B8">
        <w:rPr>
          <w:rFonts w:cs="Times New Roman"/>
          <w:color w:val="000000" w:themeColor="text1"/>
          <w:spacing w:val="3"/>
          <w:szCs w:val="24"/>
        </w:rPr>
        <w:t>students. All students</w:t>
      </w:r>
      <w:r w:rsidR="00320E5A">
        <w:rPr>
          <w:rFonts w:cs="Times New Roman"/>
          <w:color w:val="000000" w:themeColor="text1"/>
          <w:spacing w:val="3"/>
          <w:szCs w:val="24"/>
        </w:rPr>
        <w:t xml:space="preserve"> first-time, full-time</w:t>
      </w:r>
      <w:r w:rsidRPr="00A866B8">
        <w:rPr>
          <w:rFonts w:cs="Times New Roman"/>
          <w:color w:val="000000" w:themeColor="text1"/>
          <w:spacing w:val="3"/>
          <w:szCs w:val="24"/>
        </w:rPr>
        <w:t xml:space="preserve"> were categorized as either dual enrollment or non-dual enrollment.</w:t>
      </w:r>
      <w:r w:rsidR="009B7A2F">
        <w:rPr>
          <w:rFonts w:cs="Times New Roman"/>
          <w:color w:val="000000" w:themeColor="text1"/>
          <w:spacing w:val="3"/>
          <w:szCs w:val="24"/>
        </w:rPr>
        <w:t xml:space="preserve"> </w:t>
      </w:r>
      <w:r w:rsidR="00201978">
        <w:rPr>
          <w:rFonts w:cs="Times New Roman"/>
        </w:rPr>
        <w:t xml:space="preserve">Because high school students must have a GPA of 3.0 to 4.0 and an ACT of 21 or greater to be eligible for dual enrollment, only students that met the criteria for dual enrollment while in high school were included in the </w:t>
      </w:r>
      <w:r w:rsidR="00201978">
        <w:rPr>
          <w:rFonts w:cs="Times New Roman"/>
        </w:rPr>
        <w:lastRenderedPageBreak/>
        <w:t>final sample. Therefore, only students that participated in dual enrollment and non-dual enrollment students who met the criteria for dual enrollment while in high school were included in my study. A total of 2,078 students met the study criteria for inclusion</w:t>
      </w:r>
      <w:r w:rsidR="00201978" w:rsidRPr="004473DC">
        <w:rPr>
          <w:rFonts w:cs="Times New Roman"/>
        </w:rPr>
        <w:t>.</w:t>
      </w:r>
      <w:r w:rsidR="00201978">
        <w:rPr>
          <w:rFonts w:cs="Times New Roman"/>
          <w:color w:val="000000" w:themeColor="text1"/>
          <w:szCs w:val="24"/>
        </w:rPr>
        <w:t xml:space="preserve"> </w:t>
      </w:r>
      <w:r w:rsidRPr="00A866B8">
        <w:rPr>
          <w:rFonts w:cs="Times New Roman"/>
          <w:color w:val="000000" w:themeColor="text1"/>
          <w:spacing w:val="3"/>
          <w:szCs w:val="24"/>
        </w:rPr>
        <w:t>Subgroups include</w:t>
      </w:r>
      <w:r w:rsidR="00AC23B0">
        <w:rPr>
          <w:rFonts w:cs="Times New Roman"/>
          <w:color w:val="000000" w:themeColor="text1"/>
          <w:spacing w:val="3"/>
          <w:szCs w:val="24"/>
        </w:rPr>
        <w:t>d</w:t>
      </w:r>
      <w:r w:rsidRPr="00A866B8">
        <w:rPr>
          <w:rFonts w:cs="Times New Roman"/>
          <w:color w:val="000000" w:themeColor="text1"/>
          <w:spacing w:val="3"/>
          <w:szCs w:val="24"/>
        </w:rPr>
        <w:t xml:space="preserve"> dual enrollment completion versus non-dual enrollment completion, </w:t>
      </w:r>
      <w:r w:rsidR="00AC23B0">
        <w:rPr>
          <w:rFonts w:cs="Times New Roman"/>
          <w:color w:val="000000" w:themeColor="text1"/>
          <w:spacing w:val="3"/>
          <w:szCs w:val="24"/>
        </w:rPr>
        <w:t>grade point average (</w:t>
      </w:r>
      <w:r w:rsidRPr="00A866B8">
        <w:rPr>
          <w:rFonts w:cs="Times New Roman"/>
          <w:color w:val="000000" w:themeColor="text1"/>
          <w:spacing w:val="3"/>
          <w:szCs w:val="24"/>
        </w:rPr>
        <w:t>GPA</w:t>
      </w:r>
      <w:r w:rsidR="00AC23B0">
        <w:rPr>
          <w:rFonts w:cs="Times New Roman"/>
          <w:color w:val="000000" w:themeColor="text1"/>
          <w:spacing w:val="3"/>
          <w:szCs w:val="24"/>
        </w:rPr>
        <w:t>)</w:t>
      </w:r>
      <w:r w:rsidRPr="00A866B8">
        <w:rPr>
          <w:rFonts w:cs="Times New Roman"/>
          <w:color w:val="000000" w:themeColor="text1"/>
          <w:spacing w:val="3"/>
          <w:szCs w:val="24"/>
        </w:rPr>
        <w:t>,</w:t>
      </w:r>
      <w:r w:rsidR="00AA0493" w:rsidRPr="00127357">
        <w:rPr>
          <w:rFonts w:cs="Times New Roman"/>
          <w:color w:val="000000" w:themeColor="text1"/>
          <w:spacing w:val="3"/>
          <w:szCs w:val="24"/>
        </w:rPr>
        <w:t xml:space="preserve"> enrollment status (part-time or full-time</w:t>
      </w:r>
      <w:r w:rsidR="00AA0493">
        <w:rPr>
          <w:rFonts w:cs="Times New Roman"/>
          <w:color w:val="000000" w:themeColor="text1"/>
          <w:spacing w:val="3"/>
          <w:szCs w:val="24"/>
        </w:rPr>
        <w:t>)</w:t>
      </w:r>
      <w:r w:rsidR="00AA0493" w:rsidRPr="00127357">
        <w:rPr>
          <w:rFonts w:cs="Times New Roman"/>
          <w:color w:val="000000" w:themeColor="text1"/>
          <w:spacing w:val="3"/>
          <w:szCs w:val="24"/>
        </w:rPr>
        <w:t>, retention rate (</w:t>
      </w:r>
      <w:r w:rsidR="00525B86">
        <w:rPr>
          <w:rFonts w:cs="Times New Roman"/>
          <w:color w:val="000000" w:themeColor="text1"/>
          <w:spacing w:val="3"/>
          <w:szCs w:val="24"/>
        </w:rPr>
        <w:t>f</w:t>
      </w:r>
      <w:r w:rsidR="00AA0493" w:rsidRPr="00127357">
        <w:rPr>
          <w:rFonts w:cs="Times New Roman"/>
          <w:color w:val="000000" w:themeColor="text1"/>
          <w:spacing w:val="3"/>
          <w:szCs w:val="24"/>
        </w:rPr>
        <w:t xml:space="preserve">all to </w:t>
      </w:r>
      <w:r w:rsidR="00525B86">
        <w:rPr>
          <w:rFonts w:cs="Times New Roman"/>
          <w:color w:val="000000" w:themeColor="text1"/>
          <w:spacing w:val="3"/>
          <w:szCs w:val="24"/>
        </w:rPr>
        <w:t>s</w:t>
      </w:r>
      <w:r w:rsidR="00AA0493" w:rsidRPr="00127357">
        <w:rPr>
          <w:rFonts w:cs="Times New Roman"/>
          <w:color w:val="000000" w:themeColor="text1"/>
          <w:spacing w:val="3"/>
          <w:szCs w:val="24"/>
        </w:rPr>
        <w:t>pring), retention rate (</w:t>
      </w:r>
      <w:r w:rsidR="00525B86">
        <w:rPr>
          <w:rFonts w:cs="Times New Roman"/>
          <w:color w:val="000000" w:themeColor="text1"/>
          <w:spacing w:val="3"/>
          <w:szCs w:val="24"/>
        </w:rPr>
        <w:t>f</w:t>
      </w:r>
      <w:r w:rsidR="00AA0493" w:rsidRPr="00127357">
        <w:rPr>
          <w:rFonts w:cs="Times New Roman"/>
          <w:color w:val="000000" w:themeColor="text1"/>
          <w:spacing w:val="3"/>
          <w:szCs w:val="24"/>
        </w:rPr>
        <w:t xml:space="preserve">all to </w:t>
      </w:r>
      <w:r w:rsidR="00525B86">
        <w:rPr>
          <w:rFonts w:cs="Times New Roman"/>
          <w:color w:val="000000" w:themeColor="text1"/>
          <w:spacing w:val="3"/>
          <w:szCs w:val="24"/>
        </w:rPr>
        <w:t>f</w:t>
      </w:r>
      <w:r w:rsidR="00AA0493" w:rsidRPr="00127357">
        <w:rPr>
          <w:rFonts w:cs="Times New Roman"/>
          <w:color w:val="000000" w:themeColor="text1"/>
          <w:spacing w:val="3"/>
          <w:szCs w:val="24"/>
        </w:rPr>
        <w:t>all), academic credits (30 or more semester credits)</w:t>
      </w:r>
      <w:r w:rsidR="00AA0493">
        <w:rPr>
          <w:rFonts w:cs="Times New Roman"/>
          <w:color w:val="000000" w:themeColor="text1"/>
          <w:spacing w:val="3"/>
          <w:szCs w:val="24"/>
        </w:rPr>
        <w:t>,</w:t>
      </w:r>
      <w:r w:rsidR="00AA0493" w:rsidRPr="00127357">
        <w:rPr>
          <w:rFonts w:cs="Times New Roman"/>
          <w:color w:val="000000" w:themeColor="text1"/>
          <w:spacing w:val="3"/>
          <w:szCs w:val="24"/>
        </w:rPr>
        <w:t xml:space="preserve"> and academic credits (number earned at the end of their freshman year).</w:t>
      </w:r>
    </w:p>
    <w:p w14:paraId="345AB95E" w14:textId="77777777" w:rsidR="00A866B8" w:rsidRDefault="00A866B8" w:rsidP="00A866B8">
      <w:pPr>
        <w:pStyle w:val="Heading3"/>
        <w:rPr>
          <w:rFonts w:cs="Times New Roman"/>
        </w:rPr>
      </w:pPr>
      <w:bookmarkStart w:id="59" w:name="_Toc224458903"/>
      <w:r>
        <w:rPr>
          <w:rFonts w:cs="Times New Roman"/>
        </w:rPr>
        <w:t>Data Collection</w:t>
      </w:r>
      <w:bookmarkEnd w:id="59"/>
    </w:p>
    <w:p w14:paraId="0DEFEA7C" w14:textId="26F27C33" w:rsidR="00505087" w:rsidRDefault="00154509" w:rsidP="007343AB">
      <w:pPr>
        <w:pStyle w:val="NormalWeb"/>
        <w:spacing w:before="120" w:beforeAutospacing="0" w:after="0" w:afterAutospacing="0" w:line="480" w:lineRule="auto"/>
        <w:ind w:firstLine="720"/>
        <w:rPr>
          <w:color w:val="000000" w:themeColor="text1"/>
          <w:spacing w:val="3"/>
        </w:rPr>
      </w:pPr>
      <w:bookmarkStart w:id="60" w:name="_Hlk119065841"/>
      <w:r>
        <w:rPr>
          <w:color w:val="000000" w:themeColor="text1"/>
          <w:spacing w:val="3"/>
        </w:rPr>
        <w:t xml:space="preserve">Data were requested and collected from the </w:t>
      </w:r>
      <w:r w:rsidR="00077D93">
        <w:rPr>
          <w:color w:val="000000" w:themeColor="text1"/>
          <w:spacing w:val="3"/>
        </w:rPr>
        <w:t xml:space="preserve">participating </w:t>
      </w:r>
      <w:r>
        <w:rPr>
          <w:color w:val="000000" w:themeColor="text1"/>
          <w:spacing w:val="3"/>
        </w:rPr>
        <w:t>colleges’ BANNER system</w:t>
      </w:r>
      <w:r w:rsidR="0046759B">
        <w:rPr>
          <w:color w:val="000000" w:themeColor="text1"/>
          <w:spacing w:val="3"/>
        </w:rPr>
        <w:t xml:space="preserve"> under the Tennessee Board of Regents (TBR)</w:t>
      </w:r>
      <w:r>
        <w:rPr>
          <w:color w:val="000000" w:themeColor="text1"/>
          <w:spacing w:val="3"/>
        </w:rPr>
        <w:t xml:space="preserve"> for the </w:t>
      </w:r>
      <w:r w:rsidR="00A866B8" w:rsidRPr="001416DC">
        <w:rPr>
          <w:color w:val="000000" w:themeColor="text1"/>
          <w:spacing w:val="3"/>
        </w:rPr>
        <w:t>2017, 2018, 2019, 2020</w:t>
      </w:r>
      <w:r w:rsidR="007343AB">
        <w:rPr>
          <w:color w:val="000000" w:themeColor="text1"/>
          <w:spacing w:val="3"/>
        </w:rPr>
        <w:t>, and 2021</w:t>
      </w:r>
      <w:r w:rsidR="00A866B8" w:rsidRPr="001416DC">
        <w:rPr>
          <w:color w:val="000000" w:themeColor="text1"/>
          <w:spacing w:val="3"/>
        </w:rPr>
        <w:t xml:space="preserve"> cohorts which include</w:t>
      </w:r>
      <w:r w:rsidR="00881A3E">
        <w:rPr>
          <w:color w:val="000000" w:themeColor="text1"/>
          <w:spacing w:val="3"/>
        </w:rPr>
        <w:t>d</w:t>
      </w:r>
      <w:r w:rsidR="00A866B8" w:rsidRPr="001416DC">
        <w:rPr>
          <w:color w:val="000000" w:themeColor="text1"/>
          <w:spacing w:val="3"/>
        </w:rPr>
        <w:t xml:space="preserve"> </w:t>
      </w:r>
      <w:r w:rsidR="007343AB">
        <w:rPr>
          <w:color w:val="000000" w:themeColor="text1"/>
          <w:spacing w:val="3"/>
        </w:rPr>
        <w:t>6</w:t>
      </w:r>
      <w:r w:rsidR="00A866B8" w:rsidRPr="001416DC">
        <w:rPr>
          <w:color w:val="000000" w:themeColor="text1"/>
          <w:spacing w:val="3"/>
        </w:rPr>
        <w:t>,</w:t>
      </w:r>
      <w:r w:rsidR="007343AB">
        <w:rPr>
          <w:color w:val="000000" w:themeColor="text1"/>
          <w:spacing w:val="3"/>
        </w:rPr>
        <w:t>9</w:t>
      </w:r>
      <w:r w:rsidR="00A866B8" w:rsidRPr="001416DC">
        <w:rPr>
          <w:color w:val="000000" w:themeColor="text1"/>
          <w:spacing w:val="3"/>
        </w:rPr>
        <w:t>6</w:t>
      </w:r>
      <w:r w:rsidR="007343AB">
        <w:rPr>
          <w:color w:val="000000" w:themeColor="text1"/>
          <w:spacing w:val="3"/>
        </w:rPr>
        <w:t>9</w:t>
      </w:r>
      <w:r w:rsidR="00A866B8" w:rsidRPr="001416DC">
        <w:rPr>
          <w:color w:val="000000" w:themeColor="text1"/>
          <w:spacing w:val="3"/>
        </w:rPr>
        <w:t xml:space="preserve"> students. </w:t>
      </w:r>
      <w:bookmarkEnd w:id="60"/>
      <w:r w:rsidR="002A58F7">
        <w:t>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A total of 2,078 students met the study criteria for inclusion</w:t>
      </w:r>
      <w:r w:rsidR="002A58F7" w:rsidRPr="004473DC">
        <w:t>.</w:t>
      </w:r>
      <w:r w:rsidR="002A58F7">
        <w:t xml:space="preserve"> </w:t>
      </w:r>
      <w:r w:rsidR="0046759B">
        <w:rPr>
          <w:color w:val="000000" w:themeColor="text1"/>
          <w:spacing w:val="3"/>
        </w:rPr>
        <w:t xml:space="preserve">The secure data </w:t>
      </w:r>
      <w:r w:rsidR="00320E5A">
        <w:rPr>
          <w:color w:val="000000" w:themeColor="text1"/>
          <w:spacing w:val="3"/>
        </w:rPr>
        <w:t>were</w:t>
      </w:r>
      <w:r w:rsidR="0046759B">
        <w:rPr>
          <w:color w:val="000000" w:themeColor="text1"/>
          <w:spacing w:val="3"/>
        </w:rPr>
        <w:t xml:space="preserve"> collected with relevant, credible, and accurate data from the secure system, received with no identifiable information, and stored on a personal, password protected computer. T</w:t>
      </w:r>
      <w:r w:rsidR="00A866B8" w:rsidRPr="001416DC">
        <w:rPr>
          <w:color w:val="000000" w:themeColor="text1"/>
          <w:spacing w:val="3"/>
        </w:rPr>
        <w:t>he IRB process</w:t>
      </w:r>
      <w:r w:rsidR="0046759B">
        <w:rPr>
          <w:color w:val="000000" w:themeColor="text1"/>
          <w:spacing w:val="3"/>
        </w:rPr>
        <w:t xml:space="preserve"> was completed for</w:t>
      </w:r>
      <w:r w:rsidR="00A866B8" w:rsidRPr="001416DC">
        <w:rPr>
          <w:color w:val="000000" w:themeColor="text1"/>
          <w:spacing w:val="3"/>
        </w:rPr>
        <w:t xml:space="preserve"> East Tennessee State University and the </w:t>
      </w:r>
      <w:r w:rsidR="00881A3E">
        <w:rPr>
          <w:color w:val="000000" w:themeColor="text1"/>
          <w:spacing w:val="3"/>
        </w:rPr>
        <w:t>Tennessee</w:t>
      </w:r>
      <w:r w:rsidR="00A866B8" w:rsidRPr="001416DC">
        <w:rPr>
          <w:color w:val="000000" w:themeColor="text1"/>
          <w:spacing w:val="3"/>
        </w:rPr>
        <w:t xml:space="preserve"> community college as well as approval forms required </w:t>
      </w:r>
      <w:r w:rsidR="00881A3E">
        <w:rPr>
          <w:color w:val="000000" w:themeColor="text1"/>
          <w:spacing w:val="3"/>
        </w:rPr>
        <w:t>of</w:t>
      </w:r>
      <w:r w:rsidR="00A866B8" w:rsidRPr="001416DC">
        <w:rPr>
          <w:color w:val="000000" w:themeColor="text1"/>
          <w:spacing w:val="3"/>
        </w:rPr>
        <w:t xml:space="preserve"> the IEC Data Request &amp; Approval Form at </w:t>
      </w:r>
      <w:r w:rsidR="00320E5A">
        <w:rPr>
          <w:color w:val="000000" w:themeColor="text1"/>
          <w:spacing w:val="3"/>
        </w:rPr>
        <w:t>the participating</w:t>
      </w:r>
      <w:r w:rsidR="00A866B8" w:rsidRPr="001416DC">
        <w:rPr>
          <w:color w:val="000000" w:themeColor="text1"/>
          <w:spacing w:val="3"/>
        </w:rPr>
        <w:t xml:space="preserve"> institution. </w:t>
      </w:r>
    </w:p>
    <w:p w14:paraId="48035743" w14:textId="77777777" w:rsidR="00A866B8" w:rsidRDefault="00A866B8" w:rsidP="00A866B8">
      <w:pPr>
        <w:pStyle w:val="Heading3"/>
        <w:rPr>
          <w:rFonts w:cs="Times New Roman"/>
        </w:rPr>
      </w:pPr>
      <w:bookmarkStart w:id="61" w:name="_Toc224458904"/>
      <w:r>
        <w:rPr>
          <w:rFonts w:cs="Times New Roman"/>
        </w:rPr>
        <w:t>Data Analysis</w:t>
      </w:r>
      <w:bookmarkEnd w:id="61"/>
    </w:p>
    <w:p w14:paraId="488F14D3" w14:textId="2F1C436B" w:rsidR="00505087" w:rsidRPr="00B41227" w:rsidRDefault="00505087" w:rsidP="00B41227">
      <w:pPr>
        <w:ind w:firstLine="720"/>
        <w:rPr>
          <w:rFonts w:cs="Times New Roman"/>
          <w:color w:val="000000" w:themeColor="text1"/>
          <w:szCs w:val="24"/>
        </w:rPr>
      </w:pPr>
      <w:r w:rsidRPr="00505087">
        <w:rPr>
          <w:rFonts w:cs="Times New Roman"/>
          <w:color w:val="000000" w:themeColor="text1"/>
          <w:szCs w:val="24"/>
        </w:rPr>
        <w:t xml:space="preserve">This </w:t>
      </w:r>
      <w:r w:rsidR="00B41227">
        <w:rPr>
          <w:rFonts w:cs="Times New Roman"/>
          <w:color w:val="000000" w:themeColor="text1"/>
          <w:szCs w:val="24"/>
        </w:rPr>
        <w:t>non-experimental</w:t>
      </w:r>
      <w:r w:rsidR="005009BA">
        <w:rPr>
          <w:rFonts w:cs="Times New Roman"/>
          <w:color w:val="000000" w:themeColor="text1"/>
          <w:szCs w:val="24"/>
        </w:rPr>
        <w:t>,</w:t>
      </w:r>
      <w:r w:rsidR="00B41227">
        <w:rPr>
          <w:rFonts w:cs="Times New Roman"/>
          <w:color w:val="000000" w:themeColor="text1"/>
          <w:szCs w:val="24"/>
        </w:rPr>
        <w:t xml:space="preserve"> </w:t>
      </w:r>
      <w:r w:rsidRPr="00505087">
        <w:rPr>
          <w:rFonts w:cs="Times New Roman"/>
          <w:color w:val="000000" w:themeColor="text1"/>
          <w:szCs w:val="24"/>
        </w:rPr>
        <w:t>quantitative study use</w:t>
      </w:r>
      <w:r w:rsidR="002525BA">
        <w:rPr>
          <w:rFonts w:cs="Times New Roman"/>
          <w:color w:val="000000" w:themeColor="text1"/>
          <w:szCs w:val="24"/>
        </w:rPr>
        <w:t>d</w:t>
      </w:r>
      <w:r w:rsidRPr="00505087">
        <w:rPr>
          <w:rFonts w:cs="Times New Roman"/>
          <w:color w:val="000000" w:themeColor="text1"/>
          <w:szCs w:val="24"/>
        </w:rPr>
        <w:t xml:space="preserve"> statistical analysis for research questions which</w:t>
      </w:r>
      <w:r w:rsidR="002525BA">
        <w:rPr>
          <w:rFonts w:cs="Times New Roman"/>
          <w:color w:val="000000" w:themeColor="text1"/>
          <w:szCs w:val="24"/>
        </w:rPr>
        <w:t xml:space="preserve"> </w:t>
      </w:r>
      <w:r w:rsidRPr="00505087">
        <w:rPr>
          <w:rFonts w:cs="Times New Roman"/>
          <w:color w:val="000000" w:themeColor="text1"/>
          <w:szCs w:val="24"/>
        </w:rPr>
        <w:t>include</w:t>
      </w:r>
      <w:r w:rsidR="002525BA">
        <w:rPr>
          <w:rFonts w:cs="Times New Roman"/>
          <w:color w:val="000000" w:themeColor="text1"/>
          <w:szCs w:val="24"/>
        </w:rPr>
        <w:t>d</w:t>
      </w:r>
      <w:r w:rsidRPr="00505087">
        <w:rPr>
          <w:rFonts w:cs="Times New Roman"/>
          <w:color w:val="000000" w:themeColor="text1"/>
          <w:szCs w:val="24"/>
        </w:rPr>
        <w:t xml:space="preserve"> the use of chi-square</w:t>
      </w:r>
      <w:r w:rsidR="0046759B">
        <w:rPr>
          <w:rFonts w:cs="Times New Roman"/>
          <w:color w:val="000000" w:themeColor="text1"/>
          <w:szCs w:val="24"/>
        </w:rPr>
        <w:t xml:space="preserve"> analysis for </w:t>
      </w:r>
      <w:r w:rsidR="005009BA">
        <w:rPr>
          <w:rFonts w:cs="Times New Roman"/>
          <w:color w:val="000000" w:themeColor="text1"/>
          <w:szCs w:val="24"/>
        </w:rPr>
        <w:t>R</w:t>
      </w:r>
      <w:r w:rsidR="0046759B">
        <w:rPr>
          <w:rFonts w:cs="Times New Roman"/>
          <w:color w:val="000000" w:themeColor="text1"/>
          <w:szCs w:val="24"/>
        </w:rPr>
        <w:t xml:space="preserve">esearch </w:t>
      </w:r>
      <w:r w:rsidR="005009BA">
        <w:rPr>
          <w:rFonts w:cs="Times New Roman"/>
          <w:color w:val="000000" w:themeColor="text1"/>
          <w:szCs w:val="24"/>
        </w:rPr>
        <w:t>Q</w:t>
      </w:r>
      <w:r w:rsidR="0046759B">
        <w:rPr>
          <w:rFonts w:cs="Times New Roman"/>
          <w:color w:val="000000" w:themeColor="text1"/>
          <w:szCs w:val="24"/>
        </w:rPr>
        <w:t>uestion</w:t>
      </w:r>
      <w:r w:rsidR="00C34926">
        <w:rPr>
          <w:rFonts w:cs="Times New Roman"/>
          <w:color w:val="000000" w:themeColor="text1"/>
          <w:szCs w:val="24"/>
        </w:rPr>
        <w:t xml:space="preserve"> 1 and </w:t>
      </w:r>
      <w:r w:rsidR="005009BA">
        <w:rPr>
          <w:rFonts w:cs="Times New Roman"/>
          <w:color w:val="000000" w:themeColor="text1"/>
          <w:szCs w:val="24"/>
        </w:rPr>
        <w:t>Research Q</w:t>
      </w:r>
      <w:r w:rsidR="00C34926">
        <w:rPr>
          <w:rFonts w:cs="Times New Roman"/>
          <w:color w:val="000000" w:themeColor="text1"/>
          <w:szCs w:val="24"/>
        </w:rPr>
        <w:t xml:space="preserve">uestions 3 </w:t>
      </w:r>
      <w:r w:rsidR="00C34926">
        <w:rPr>
          <w:rFonts w:cs="Times New Roman"/>
          <w:color w:val="000000" w:themeColor="text1"/>
          <w:szCs w:val="24"/>
        </w:rPr>
        <w:lastRenderedPageBreak/>
        <w:t xml:space="preserve">through </w:t>
      </w:r>
      <w:r w:rsidR="00077D93">
        <w:rPr>
          <w:rFonts w:cs="Times New Roman"/>
          <w:color w:val="000000" w:themeColor="text1"/>
          <w:szCs w:val="24"/>
        </w:rPr>
        <w:t>6</w:t>
      </w:r>
      <w:r w:rsidR="00C34926">
        <w:rPr>
          <w:rFonts w:cs="Times New Roman"/>
          <w:color w:val="000000" w:themeColor="text1"/>
          <w:szCs w:val="24"/>
        </w:rPr>
        <w:t xml:space="preserve"> to compare the groups to test for significant </w:t>
      </w:r>
      <w:r w:rsidR="005009BA">
        <w:rPr>
          <w:rFonts w:cs="Times New Roman"/>
          <w:color w:val="000000" w:themeColor="text1"/>
          <w:szCs w:val="24"/>
        </w:rPr>
        <w:t>relationships</w:t>
      </w:r>
      <w:r w:rsidR="00C34926">
        <w:rPr>
          <w:rFonts w:cs="Times New Roman"/>
          <w:color w:val="000000" w:themeColor="text1"/>
          <w:szCs w:val="24"/>
        </w:rPr>
        <w:t xml:space="preserve">. </w:t>
      </w:r>
      <w:r w:rsidR="005860FF">
        <w:rPr>
          <w:rFonts w:cs="Times New Roman"/>
          <w:color w:val="000000" w:themeColor="text1"/>
          <w:szCs w:val="24"/>
        </w:rPr>
        <w:t xml:space="preserve">The variables included as followed: </w:t>
      </w:r>
      <w:r w:rsidR="005009BA">
        <w:rPr>
          <w:rFonts w:cs="Times New Roman"/>
          <w:color w:val="000000" w:themeColor="text1"/>
          <w:szCs w:val="24"/>
        </w:rPr>
        <w:t>R</w:t>
      </w:r>
      <w:r w:rsidR="00C34926">
        <w:rPr>
          <w:rFonts w:cs="Times New Roman"/>
          <w:color w:val="000000" w:themeColor="text1"/>
          <w:szCs w:val="24"/>
        </w:rPr>
        <w:t xml:space="preserve">esearch </w:t>
      </w:r>
      <w:r w:rsidR="005009BA">
        <w:rPr>
          <w:rFonts w:cs="Times New Roman"/>
          <w:color w:val="000000" w:themeColor="text1"/>
          <w:szCs w:val="24"/>
        </w:rPr>
        <w:t>Q</w:t>
      </w:r>
      <w:r w:rsidR="00C34926">
        <w:rPr>
          <w:rFonts w:cs="Times New Roman"/>
          <w:color w:val="000000" w:themeColor="text1"/>
          <w:szCs w:val="24"/>
        </w:rPr>
        <w:t xml:space="preserve">uestion 1 </w:t>
      </w:r>
      <w:r w:rsidR="0046759B">
        <w:rPr>
          <w:color w:val="000000" w:themeColor="text1"/>
          <w:spacing w:val="3"/>
        </w:rPr>
        <w:t xml:space="preserve">first-time, full- time cohort (year), dual enrollment status (yes, </w:t>
      </w:r>
      <w:r w:rsidR="0046759B" w:rsidRPr="00466043">
        <w:rPr>
          <w:color w:val="000000" w:themeColor="text1"/>
          <w:spacing w:val="3"/>
        </w:rPr>
        <w:t xml:space="preserve">no), </w:t>
      </w:r>
      <w:r w:rsidR="005009BA" w:rsidRPr="00466043">
        <w:rPr>
          <w:color w:val="000000" w:themeColor="text1"/>
          <w:spacing w:val="3"/>
        </w:rPr>
        <w:t>Research Q</w:t>
      </w:r>
      <w:r w:rsidR="00C34926" w:rsidRPr="00466043">
        <w:rPr>
          <w:color w:val="000000" w:themeColor="text1"/>
          <w:spacing w:val="3"/>
        </w:rPr>
        <w:t xml:space="preserve">uestion </w:t>
      </w:r>
      <w:r w:rsidR="00466043" w:rsidRPr="00466043">
        <w:rPr>
          <w:color w:val="000000" w:themeColor="text1"/>
          <w:spacing w:val="3"/>
        </w:rPr>
        <w:t>3 enrollment status</w:t>
      </w:r>
      <w:r w:rsidR="0046759B" w:rsidRPr="00466043">
        <w:rPr>
          <w:color w:val="000000" w:themeColor="text1"/>
          <w:spacing w:val="3"/>
        </w:rPr>
        <w:t xml:space="preserve"> (</w:t>
      </w:r>
      <w:r w:rsidR="00466043" w:rsidRPr="00466043">
        <w:rPr>
          <w:color w:val="000000" w:themeColor="text1"/>
          <w:spacing w:val="3"/>
        </w:rPr>
        <w:t>part-time or full-time</w:t>
      </w:r>
      <w:r w:rsidR="0046759B" w:rsidRPr="00466043">
        <w:rPr>
          <w:color w:val="000000" w:themeColor="text1"/>
          <w:spacing w:val="3"/>
        </w:rPr>
        <w:t>),</w:t>
      </w:r>
      <w:r w:rsidR="00426E79" w:rsidRPr="00466043">
        <w:rPr>
          <w:color w:val="000000" w:themeColor="text1"/>
          <w:spacing w:val="3"/>
        </w:rPr>
        <w:t xml:space="preserve"> </w:t>
      </w:r>
      <w:r w:rsidR="005009BA" w:rsidRPr="00466043">
        <w:rPr>
          <w:color w:val="000000" w:themeColor="text1"/>
          <w:spacing w:val="3"/>
        </w:rPr>
        <w:t>R</w:t>
      </w:r>
      <w:r w:rsidR="00C34926" w:rsidRPr="00466043">
        <w:rPr>
          <w:color w:val="000000" w:themeColor="text1"/>
          <w:spacing w:val="3"/>
        </w:rPr>
        <w:t xml:space="preserve">esearch </w:t>
      </w:r>
      <w:r w:rsidR="005009BA" w:rsidRPr="00466043">
        <w:rPr>
          <w:color w:val="000000" w:themeColor="text1"/>
          <w:spacing w:val="3"/>
        </w:rPr>
        <w:t>Q</w:t>
      </w:r>
      <w:r w:rsidR="00C34926" w:rsidRPr="00466043">
        <w:rPr>
          <w:color w:val="000000" w:themeColor="text1"/>
          <w:spacing w:val="3"/>
        </w:rPr>
        <w:t xml:space="preserve">uestion 4 </w:t>
      </w:r>
      <w:r w:rsidR="00466043" w:rsidRPr="00466043">
        <w:rPr>
          <w:color w:val="000000" w:themeColor="text1"/>
          <w:spacing w:val="3"/>
        </w:rPr>
        <w:t>retention rate</w:t>
      </w:r>
      <w:r w:rsidR="0046759B" w:rsidRPr="00466043">
        <w:rPr>
          <w:color w:val="000000" w:themeColor="text1"/>
          <w:spacing w:val="3"/>
        </w:rPr>
        <w:t xml:space="preserve"> (</w:t>
      </w:r>
      <w:r w:rsidR="00525B86">
        <w:rPr>
          <w:color w:val="000000" w:themeColor="text1"/>
          <w:spacing w:val="3"/>
        </w:rPr>
        <w:t>f</w:t>
      </w:r>
      <w:r w:rsidR="00466043" w:rsidRPr="00466043">
        <w:rPr>
          <w:color w:val="000000" w:themeColor="text1"/>
          <w:spacing w:val="3"/>
        </w:rPr>
        <w:t xml:space="preserve">all to </w:t>
      </w:r>
      <w:r w:rsidR="00525B86">
        <w:rPr>
          <w:color w:val="000000" w:themeColor="text1"/>
          <w:spacing w:val="3"/>
        </w:rPr>
        <w:t>s</w:t>
      </w:r>
      <w:r w:rsidR="00466043" w:rsidRPr="00466043">
        <w:rPr>
          <w:color w:val="000000" w:themeColor="text1"/>
          <w:spacing w:val="3"/>
        </w:rPr>
        <w:t>pring</w:t>
      </w:r>
      <w:r w:rsidR="0046759B" w:rsidRPr="00466043">
        <w:rPr>
          <w:color w:val="000000" w:themeColor="text1"/>
          <w:spacing w:val="3"/>
        </w:rPr>
        <w:t xml:space="preserve">), </w:t>
      </w:r>
      <w:r w:rsidR="005009BA" w:rsidRPr="00466043">
        <w:rPr>
          <w:color w:val="000000" w:themeColor="text1"/>
          <w:spacing w:val="3"/>
        </w:rPr>
        <w:t>R</w:t>
      </w:r>
      <w:r w:rsidR="00C34926" w:rsidRPr="00466043">
        <w:rPr>
          <w:color w:val="000000" w:themeColor="text1"/>
          <w:spacing w:val="3"/>
        </w:rPr>
        <w:t xml:space="preserve">esearch </w:t>
      </w:r>
      <w:r w:rsidR="005009BA" w:rsidRPr="00466043">
        <w:rPr>
          <w:color w:val="000000" w:themeColor="text1"/>
          <w:spacing w:val="3"/>
        </w:rPr>
        <w:t>Q</w:t>
      </w:r>
      <w:r w:rsidR="00C34926" w:rsidRPr="00466043">
        <w:rPr>
          <w:color w:val="000000" w:themeColor="text1"/>
          <w:spacing w:val="3"/>
        </w:rPr>
        <w:t xml:space="preserve">uestion 5 </w:t>
      </w:r>
      <w:r w:rsidR="00466043" w:rsidRPr="00466043">
        <w:rPr>
          <w:rFonts w:cs="Times New Roman"/>
        </w:rPr>
        <w:t>retention rate</w:t>
      </w:r>
      <w:r w:rsidR="009213B9" w:rsidRPr="00466043">
        <w:rPr>
          <w:rFonts w:cs="Times New Roman"/>
        </w:rPr>
        <w:t xml:space="preserve"> (</w:t>
      </w:r>
      <w:r w:rsidR="00525B86">
        <w:rPr>
          <w:rFonts w:cs="Times New Roman"/>
        </w:rPr>
        <w:t>f</w:t>
      </w:r>
      <w:r w:rsidR="00466043" w:rsidRPr="00466043">
        <w:rPr>
          <w:rFonts w:cs="Times New Roman"/>
        </w:rPr>
        <w:t xml:space="preserve">all to </w:t>
      </w:r>
      <w:r w:rsidR="00525B86">
        <w:rPr>
          <w:rFonts w:cs="Times New Roman"/>
        </w:rPr>
        <w:t>f</w:t>
      </w:r>
      <w:r w:rsidR="00466043" w:rsidRPr="00466043">
        <w:rPr>
          <w:rFonts w:cs="Times New Roman"/>
        </w:rPr>
        <w:t>all)</w:t>
      </w:r>
      <w:r w:rsidR="00C72893" w:rsidRPr="00466043">
        <w:rPr>
          <w:color w:val="000000" w:themeColor="text1"/>
          <w:spacing w:val="3"/>
        </w:rPr>
        <w:t>,</w:t>
      </w:r>
      <w:r w:rsidR="005860FF" w:rsidRPr="00466043">
        <w:rPr>
          <w:color w:val="000000" w:themeColor="text1"/>
          <w:spacing w:val="3"/>
        </w:rPr>
        <w:t xml:space="preserve"> </w:t>
      </w:r>
      <w:r w:rsidR="00466043" w:rsidRPr="00466043">
        <w:rPr>
          <w:color w:val="000000" w:themeColor="text1"/>
          <w:spacing w:val="3"/>
        </w:rPr>
        <w:t xml:space="preserve">and </w:t>
      </w:r>
      <w:r w:rsidR="00A52301" w:rsidRPr="00466043">
        <w:rPr>
          <w:color w:val="000000" w:themeColor="text1"/>
          <w:spacing w:val="3"/>
        </w:rPr>
        <w:t>R</w:t>
      </w:r>
      <w:r w:rsidR="00C34926" w:rsidRPr="00466043">
        <w:rPr>
          <w:color w:val="000000" w:themeColor="text1"/>
          <w:spacing w:val="3"/>
        </w:rPr>
        <w:t xml:space="preserve">esearch </w:t>
      </w:r>
      <w:r w:rsidR="00A52301" w:rsidRPr="00466043">
        <w:rPr>
          <w:color w:val="000000" w:themeColor="text1"/>
          <w:spacing w:val="3"/>
        </w:rPr>
        <w:t>Q</w:t>
      </w:r>
      <w:r w:rsidR="00C34926" w:rsidRPr="00466043">
        <w:rPr>
          <w:color w:val="000000" w:themeColor="text1"/>
          <w:spacing w:val="3"/>
        </w:rPr>
        <w:t xml:space="preserve">uestion 6 </w:t>
      </w:r>
      <w:r w:rsidR="00491735">
        <w:rPr>
          <w:color w:val="000000" w:themeColor="text1"/>
          <w:spacing w:val="3"/>
        </w:rPr>
        <w:t xml:space="preserve">academic </w:t>
      </w:r>
      <w:r w:rsidR="00466043" w:rsidRPr="00466043">
        <w:rPr>
          <w:color w:val="000000" w:themeColor="text1"/>
          <w:spacing w:val="3"/>
        </w:rPr>
        <w:t>credits</w:t>
      </w:r>
      <w:r w:rsidR="00C34926" w:rsidRPr="00466043">
        <w:rPr>
          <w:color w:val="000000" w:themeColor="text1"/>
          <w:spacing w:val="3"/>
        </w:rPr>
        <w:t xml:space="preserve"> (</w:t>
      </w:r>
      <w:r w:rsidR="00466043" w:rsidRPr="00466043">
        <w:rPr>
          <w:rFonts w:cs="Times New Roman"/>
        </w:rPr>
        <w:t>30 or more semester credits during their first year of enrollment</w:t>
      </w:r>
      <w:r w:rsidR="00C34926" w:rsidRPr="00466043">
        <w:rPr>
          <w:color w:val="000000" w:themeColor="text1"/>
          <w:spacing w:val="3"/>
        </w:rPr>
        <w:t>)</w:t>
      </w:r>
      <w:r w:rsidR="00466043" w:rsidRPr="00466043">
        <w:rPr>
          <w:color w:val="000000" w:themeColor="text1"/>
          <w:spacing w:val="3"/>
        </w:rPr>
        <w:t xml:space="preserve">. </w:t>
      </w:r>
      <w:r w:rsidR="000D7274" w:rsidRPr="00466043">
        <w:rPr>
          <w:rFonts w:eastAsia="Times New Roman" w:cs="Times New Roman"/>
          <w:color w:val="000000"/>
          <w:szCs w:val="24"/>
        </w:rPr>
        <w:t>Independent t-</w:t>
      </w:r>
      <w:r w:rsidR="003E0B56" w:rsidRPr="00466043">
        <w:rPr>
          <w:rFonts w:eastAsia="Times New Roman" w:cs="Times New Roman"/>
          <w:color w:val="000000"/>
          <w:szCs w:val="24"/>
        </w:rPr>
        <w:t>test</w:t>
      </w:r>
      <w:r w:rsidR="009D19F2" w:rsidRPr="00466043">
        <w:rPr>
          <w:rFonts w:eastAsia="Times New Roman" w:cs="Times New Roman"/>
          <w:color w:val="000000"/>
          <w:szCs w:val="24"/>
        </w:rPr>
        <w:t xml:space="preserve"> were used</w:t>
      </w:r>
      <w:r w:rsidR="000D7274" w:rsidRPr="00466043">
        <w:rPr>
          <w:rFonts w:eastAsia="Times New Roman" w:cs="Times New Roman"/>
          <w:color w:val="000000"/>
          <w:szCs w:val="24"/>
        </w:rPr>
        <w:t xml:space="preserve"> for </w:t>
      </w:r>
      <w:r w:rsidR="00A52301" w:rsidRPr="00466043">
        <w:rPr>
          <w:rFonts w:eastAsia="Times New Roman" w:cs="Times New Roman"/>
          <w:color w:val="000000"/>
          <w:szCs w:val="24"/>
        </w:rPr>
        <w:t>R</w:t>
      </w:r>
      <w:r w:rsidR="000D7274" w:rsidRPr="00466043">
        <w:rPr>
          <w:rFonts w:eastAsia="Times New Roman" w:cs="Times New Roman"/>
          <w:color w:val="000000"/>
          <w:szCs w:val="24"/>
        </w:rPr>
        <w:t xml:space="preserve">esearch </w:t>
      </w:r>
      <w:r w:rsidR="00A52301" w:rsidRPr="00466043">
        <w:rPr>
          <w:rFonts w:eastAsia="Times New Roman" w:cs="Times New Roman"/>
          <w:color w:val="000000"/>
          <w:szCs w:val="24"/>
        </w:rPr>
        <w:t>Q</w:t>
      </w:r>
      <w:r w:rsidR="000D7274" w:rsidRPr="00466043">
        <w:rPr>
          <w:rFonts w:eastAsia="Times New Roman" w:cs="Times New Roman"/>
          <w:color w:val="000000"/>
          <w:szCs w:val="24"/>
        </w:rPr>
        <w:t>uestion 2</w:t>
      </w:r>
      <w:r w:rsidR="003E0B56" w:rsidRPr="00466043">
        <w:rPr>
          <w:rFonts w:eastAsia="Times New Roman" w:cs="Times New Roman"/>
          <w:color w:val="000000"/>
          <w:szCs w:val="24"/>
        </w:rPr>
        <w:t xml:space="preserve"> to compare mean GPA scores</w:t>
      </w:r>
      <w:r w:rsidR="00077D93" w:rsidRPr="00466043">
        <w:rPr>
          <w:rFonts w:eastAsia="Times New Roman" w:cs="Times New Roman"/>
          <w:color w:val="000000"/>
          <w:szCs w:val="24"/>
        </w:rPr>
        <w:t xml:space="preserve"> and Research Question 7 to compare </w:t>
      </w:r>
      <w:r w:rsidR="00077D93" w:rsidRPr="00466043">
        <w:rPr>
          <w:rFonts w:cs="Times New Roman"/>
        </w:rPr>
        <w:t>the number of academic credits earned at the end of their freshman year between</w:t>
      </w:r>
      <w:r w:rsidR="00234829" w:rsidRPr="00466043">
        <w:rPr>
          <w:rFonts w:eastAsia="Times New Roman" w:cs="Times New Roman"/>
          <w:color w:val="000000"/>
          <w:szCs w:val="24"/>
        </w:rPr>
        <w:t>. A</w:t>
      </w:r>
      <w:r w:rsidR="003E0B56" w:rsidRPr="00466043">
        <w:rPr>
          <w:rFonts w:eastAsia="Times New Roman" w:cs="Times New Roman"/>
          <w:color w:val="000000"/>
          <w:szCs w:val="24"/>
        </w:rPr>
        <w:t>n alpha level set at .05</w:t>
      </w:r>
      <w:r w:rsidR="00234829" w:rsidRPr="00466043">
        <w:rPr>
          <w:rFonts w:eastAsia="Times New Roman" w:cs="Times New Roman"/>
          <w:color w:val="000000"/>
          <w:szCs w:val="24"/>
        </w:rPr>
        <w:t xml:space="preserve"> was used to establish </w:t>
      </w:r>
      <w:r w:rsidR="0060606E" w:rsidRPr="00466043">
        <w:rPr>
          <w:rFonts w:eastAsia="Times New Roman" w:cs="Times New Roman"/>
          <w:color w:val="000000"/>
          <w:szCs w:val="24"/>
        </w:rPr>
        <w:t xml:space="preserve">the </w:t>
      </w:r>
      <w:r w:rsidR="00A52301" w:rsidRPr="00466043">
        <w:rPr>
          <w:rFonts w:eastAsia="Times New Roman" w:cs="Times New Roman"/>
          <w:color w:val="000000"/>
          <w:szCs w:val="24"/>
        </w:rPr>
        <w:t xml:space="preserve">statistical </w:t>
      </w:r>
      <w:r w:rsidR="00234829" w:rsidRPr="00466043">
        <w:rPr>
          <w:rFonts w:eastAsia="Times New Roman" w:cs="Times New Roman"/>
          <w:color w:val="000000"/>
          <w:szCs w:val="24"/>
        </w:rPr>
        <w:t xml:space="preserve">significance of </w:t>
      </w:r>
      <w:r w:rsidR="00A52301" w:rsidRPr="00466043">
        <w:rPr>
          <w:rFonts w:eastAsia="Times New Roman" w:cs="Times New Roman"/>
          <w:color w:val="000000"/>
          <w:szCs w:val="24"/>
        </w:rPr>
        <w:t>each analysis</w:t>
      </w:r>
      <w:r w:rsidR="003E0B56" w:rsidRPr="00466043">
        <w:rPr>
          <w:rFonts w:eastAsia="Times New Roman" w:cs="Times New Roman"/>
          <w:color w:val="000000"/>
          <w:szCs w:val="24"/>
        </w:rPr>
        <w:t>.</w:t>
      </w:r>
      <w:r w:rsidR="003E0B56" w:rsidRPr="006F4306">
        <w:rPr>
          <w:rFonts w:eastAsia="Times New Roman" w:cs="Times New Roman"/>
          <w:color w:val="000000"/>
          <w:szCs w:val="24"/>
        </w:rPr>
        <w:t xml:space="preserve"> </w:t>
      </w:r>
    </w:p>
    <w:p w14:paraId="341EC928" w14:textId="77777777" w:rsidR="00A866B8" w:rsidRDefault="00A866B8" w:rsidP="00A866B8">
      <w:pPr>
        <w:pStyle w:val="Heading3"/>
        <w:rPr>
          <w:rFonts w:cs="Times New Roman"/>
        </w:rPr>
      </w:pPr>
      <w:bookmarkStart w:id="62" w:name="_Toc224458905"/>
      <w:r>
        <w:rPr>
          <w:rFonts w:cs="Times New Roman"/>
        </w:rPr>
        <w:t>Ethical Considerations</w:t>
      </w:r>
      <w:bookmarkEnd w:id="62"/>
    </w:p>
    <w:p w14:paraId="7037E5C9" w14:textId="3F9387F8" w:rsidR="00155477" w:rsidRPr="002525BA" w:rsidRDefault="00505087" w:rsidP="00F5317D">
      <w:pPr>
        <w:ind w:firstLine="720"/>
        <w:rPr>
          <w:rFonts w:cs="Times New Roman"/>
          <w:szCs w:val="24"/>
        </w:rPr>
      </w:pPr>
      <w:r w:rsidRPr="00505087">
        <w:rPr>
          <w:rFonts w:cs="Times New Roman"/>
          <w:szCs w:val="24"/>
        </w:rPr>
        <w:t>“Research ethics are focused on what is morally proper and improper when engaged with participants or when accessing archival data” (</w:t>
      </w:r>
      <w:r w:rsidRPr="00505087">
        <w:rPr>
          <w:rFonts w:cs="Times New Roman"/>
          <w:color w:val="202122"/>
          <w:spacing w:val="3"/>
          <w:szCs w:val="24"/>
        </w:rPr>
        <w:t>McMillian &amp; Schumacher, 2010</w:t>
      </w:r>
      <w:r w:rsidR="002255AF">
        <w:rPr>
          <w:rFonts w:cs="Times New Roman"/>
          <w:color w:val="202122"/>
          <w:spacing w:val="3"/>
          <w:szCs w:val="24"/>
        </w:rPr>
        <w:t>, p. 117</w:t>
      </w:r>
      <w:r w:rsidRPr="00505087">
        <w:rPr>
          <w:rFonts w:cs="Times New Roman"/>
          <w:szCs w:val="24"/>
        </w:rPr>
        <w:t>). Archival data w</w:t>
      </w:r>
      <w:r w:rsidR="005F290B">
        <w:rPr>
          <w:rFonts w:cs="Times New Roman"/>
          <w:szCs w:val="24"/>
        </w:rPr>
        <w:t>ere</w:t>
      </w:r>
      <w:r w:rsidRPr="00505087">
        <w:rPr>
          <w:rFonts w:cs="Times New Roman"/>
          <w:szCs w:val="24"/>
        </w:rPr>
        <w:t xml:space="preserve"> used</w:t>
      </w:r>
      <w:r w:rsidR="005C64BA">
        <w:rPr>
          <w:rFonts w:cs="Times New Roman"/>
          <w:szCs w:val="24"/>
        </w:rPr>
        <w:t xml:space="preserve"> </w:t>
      </w:r>
      <w:r w:rsidR="00155477">
        <w:rPr>
          <w:rFonts w:cs="Times New Roman"/>
          <w:szCs w:val="24"/>
        </w:rPr>
        <w:t>through</w:t>
      </w:r>
      <w:r w:rsidRPr="00505087">
        <w:rPr>
          <w:rFonts w:cs="Times New Roman"/>
          <w:szCs w:val="24"/>
        </w:rPr>
        <w:t xml:space="preserve"> the institution</w:t>
      </w:r>
      <w:r w:rsidR="005C64BA">
        <w:rPr>
          <w:rFonts w:cs="Times New Roman"/>
          <w:szCs w:val="24"/>
        </w:rPr>
        <w:t>’</w:t>
      </w:r>
      <w:r w:rsidRPr="00505087">
        <w:rPr>
          <w:rFonts w:cs="Times New Roman"/>
          <w:szCs w:val="24"/>
        </w:rPr>
        <w:t xml:space="preserve">s </w:t>
      </w:r>
      <w:r w:rsidRPr="00505087">
        <w:rPr>
          <w:rFonts w:cs="Times New Roman"/>
          <w:color w:val="000000" w:themeColor="text1"/>
          <w:spacing w:val="3"/>
          <w:szCs w:val="24"/>
        </w:rPr>
        <w:t xml:space="preserve">office of Institutional Effectiveness and Compliance (IEC) where </w:t>
      </w:r>
      <w:r w:rsidR="00155477">
        <w:rPr>
          <w:rFonts w:cs="Times New Roman"/>
          <w:color w:val="000000" w:themeColor="text1"/>
          <w:spacing w:val="3"/>
          <w:szCs w:val="24"/>
        </w:rPr>
        <w:t>data was collected through</w:t>
      </w:r>
      <w:r w:rsidRPr="00505087">
        <w:rPr>
          <w:rFonts w:cs="Times New Roman"/>
          <w:color w:val="000000" w:themeColor="text1"/>
          <w:spacing w:val="3"/>
          <w:szCs w:val="24"/>
        </w:rPr>
        <w:t xml:space="preserve"> the B</w:t>
      </w:r>
      <w:r w:rsidR="002525BA">
        <w:rPr>
          <w:rFonts w:cs="Times New Roman"/>
          <w:color w:val="000000" w:themeColor="text1"/>
          <w:spacing w:val="3"/>
          <w:szCs w:val="24"/>
        </w:rPr>
        <w:t>ANNER</w:t>
      </w:r>
      <w:r w:rsidRPr="00505087">
        <w:rPr>
          <w:rFonts w:cs="Times New Roman"/>
          <w:color w:val="000000" w:themeColor="text1"/>
          <w:spacing w:val="3"/>
          <w:szCs w:val="24"/>
        </w:rPr>
        <w:t xml:space="preserve"> Student Information System as well as the Institutional Fact Book.</w:t>
      </w:r>
      <w:r w:rsidRPr="00505087">
        <w:rPr>
          <w:rFonts w:cs="Times New Roman"/>
          <w:color w:val="202122"/>
          <w:spacing w:val="3"/>
          <w:szCs w:val="24"/>
        </w:rPr>
        <w:t xml:space="preserve"> </w:t>
      </w:r>
      <w:r w:rsidR="00155477">
        <w:rPr>
          <w:rFonts w:cs="Times New Roman"/>
          <w:color w:val="202122"/>
          <w:spacing w:val="3"/>
          <w:szCs w:val="24"/>
        </w:rPr>
        <w:t>D</w:t>
      </w:r>
      <w:r w:rsidR="00C57448">
        <w:rPr>
          <w:rFonts w:cs="Times New Roman"/>
          <w:color w:val="202122"/>
          <w:spacing w:val="3"/>
          <w:szCs w:val="24"/>
        </w:rPr>
        <w:t xml:space="preserve">ata </w:t>
      </w:r>
      <w:r w:rsidR="00155477">
        <w:rPr>
          <w:rFonts w:cs="Times New Roman"/>
          <w:color w:val="202122"/>
          <w:spacing w:val="3"/>
          <w:szCs w:val="24"/>
        </w:rPr>
        <w:t xml:space="preserve">represented </w:t>
      </w:r>
      <w:r w:rsidR="00C57448">
        <w:rPr>
          <w:rFonts w:cs="Times New Roman"/>
          <w:color w:val="202122"/>
          <w:spacing w:val="3"/>
          <w:szCs w:val="24"/>
        </w:rPr>
        <w:t>the 201</w:t>
      </w:r>
      <w:r w:rsidR="002525BA">
        <w:rPr>
          <w:rFonts w:cs="Times New Roman"/>
          <w:color w:val="202122"/>
          <w:spacing w:val="3"/>
          <w:szCs w:val="24"/>
        </w:rPr>
        <w:t>7</w:t>
      </w:r>
      <w:r w:rsidR="00C57448">
        <w:rPr>
          <w:rFonts w:cs="Times New Roman"/>
          <w:color w:val="202122"/>
          <w:spacing w:val="3"/>
          <w:szCs w:val="24"/>
        </w:rPr>
        <w:t xml:space="preserve"> through 202</w:t>
      </w:r>
      <w:r w:rsidR="002525BA">
        <w:rPr>
          <w:rFonts w:cs="Times New Roman"/>
          <w:color w:val="202122"/>
          <w:spacing w:val="3"/>
          <w:szCs w:val="24"/>
        </w:rPr>
        <w:t>1</w:t>
      </w:r>
      <w:r w:rsidR="00C57448">
        <w:rPr>
          <w:rFonts w:cs="Times New Roman"/>
          <w:color w:val="202122"/>
          <w:spacing w:val="3"/>
          <w:szCs w:val="24"/>
        </w:rPr>
        <w:t xml:space="preserve"> cohorts which include 6,969 students. </w:t>
      </w:r>
      <w:r w:rsidR="00EC79EA">
        <w:rPr>
          <w:rFonts w:cs="Times New Roman"/>
          <w:color w:val="000000" w:themeColor="text1"/>
          <w:spacing w:val="3"/>
          <w:szCs w:val="24"/>
        </w:rPr>
        <w:t xml:space="preserve">Graduation was measured by completion of an associate degree or certificate within 3 years (150%) (IPEDS, n.d.). </w:t>
      </w:r>
      <w:r w:rsidR="00EC79EA">
        <w:rPr>
          <w:rFonts w:cs="Times New Roman"/>
        </w:rPr>
        <w:t>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A total of 2,078 students met the study criteria for inclusion</w:t>
      </w:r>
      <w:r w:rsidR="00EC79EA" w:rsidRPr="004473DC">
        <w:rPr>
          <w:rFonts w:cs="Times New Roman"/>
        </w:rPr>
        <w:t>.</w:t>
      </w:r>
      <w:r w:rsidR="00EC79EA">
        <w:rPr>
          <w:rFonts w:cs="Times New Roman"/>
        </w:rPr>
        <w:t xml:space="preserve"> </w:t>
      </w:r>
      <w:r w:rsidR="00C57448">
        <w:rPr>
          <w:rFonts w:cs="Times New Roman"/>
          <w:color w:val="202122"/>
          <w:spacing w:val="3"/>
          <w:szCs w:val="24"/>
        </w:rPr>
        <w:t xml:space="preserve">McMillian </w:t>
      </w:r>
      <w:r w:rsidR="00466043">
        <w:rPr>
          <w:rFonts w:cs="Times New Roman"/>
          <w:color w:val="202122"/>
          <w:spacing w:val="3"/>
          <w:szCs w:val="24"/>
        </w:rPr>
        <w:t>and</w:t>
      </w:r>
      <w:r w:rsidR="00C57448">
        <w:rPr>
          <w:rFonts w:cs="Times New Roman"/>
          <w:color w:val="202122"/>
          <w:spacing w:val="3"/>
          <w:szCs w:val="24"/>
        </w:rPr>
        <w:t xml:space="preserve"> Schumacher note</w:t>
      </w:r>
      <w:r w:rsidR="00A52301">
        <w:rPr>
          <w:rFonts w:cs="Times New Roman"/>
          <w:color w:val="202122"/>
          <w:spacing w:val="3"/>
          <w:szCs w:val="24"/>
        </w:rPr>
        <w:t>d</w:t>
      </w:r>
      <w:r w:rsidR="00C57448">
        <w:rPr>
          <w:rFonts w:cs="Times New Roman"/>
          <w:color w:val="202122"/>
          <w:spacing w:val="3"/>
          <w:szCs w:val="24"/>
        </w:rPr>
        <w:t xml:space="preserve"> </w:t>
      </w:r>
      <w:r w:rsidR="0060606E">
        <w:rPr>
          <w:rFonts w:cs="Times New Roman"/>
          <w:color w:val="202122"/>
          <w:spacing w:val="3"/>
          <w:szCs w:val="24"/>
        </w:rPr>
        <w:t xml:space="preserve">that </w:t>
      </w:r>
      <w:r w:rsidR="00C57448">
        <w:rPr>
          <w:rFonts w:cs="Times New Roman"/>
          <w:color w:val="202122"/>
          <w:spacing w:val="3"/>
          <w:szCs w:val="24"/>
        </w:rPr>
        <w:t xml:space="preserve">secondary data is that which has already been collected. To </w:t>
      </w:r>
      <w:r w:rsidRPr="00505087">
        <w:rPr>
          <w:rFonts w:cs="Times New Roman"/>
          <w:color w:val="202122"/>
          <w:spacing w:val="3"/>
          <w:szCs w:val="24"/>
        </w:rPr>
        <w:t>ensure privacy</w:t>
      </w:r>
      <w:r w:rsidR="00C57448">
        <w:rPr>
          <w:rFonts w:cs="Times New Roman"/>
          <w:color w:val="202122"/>
          <w:spacing w:val="3"/>
          <w:szCs w:val="24"/>
        </w:rPr>
        <w:t xml:space="preserve">, the researcher </w:t>
      </w:r>
      <w:r w:rsidR="00C57448">
        <w:rPr>
          <w:rFonts w:cs="Times New Roman"/>
          <w:color w:val="202122"/>
          <w:spacing w:val="3"/>
          <w:szCs w:val="24"/>
        </w:rPr>
        <w:lastRenderedPageBreak/>
        <w:t>should</w:t>
      </w:r>
      <w:r w:rsidRPr="00505087">
        <w:rPr>
          <w:rFonts w:cs="Times New Roman"/>
          <w:color w:val="202122"/>
          <w:spacing w:val="3"/>
          <w:szCs w:val="24"/>
        </w:rPr>
        <w:t xml:space="preserve"> us</w:t>
      </w:r>
      <w:r w:rsidR="00C57448">
        <w:rPr>
          <w:rFonts w:cs="Times New Roman"/>
          <w:color w:val="202122"/>
          <w:spacing w:val="3"/>
          <w:szCs w:val="24"/>
        </w:rPr>
        <w:t>e the following</w:t>
      </w:r>
      <w:r w:rsidRPr="00505087">
        <w:rPr>
          <w:rFonts w:cs="Times New Roman"/>
          <w:color w:val="202122"/>
          <w:spacing w:val="3"/>
          <w:szCs w:val="24"/>
        </w:rPr>
        <w:t xml:space="preserve"> three practices: (1) anonymity, (2) confidentiality, and (3) appropriate storing of data (McMillian &amp; Schumacher, 2010</w:t>
      </w:r>
      <w:r w:rsidRPr="00505087">
        <w:rPr>
          <w:rFonts w:cs="Times New Roman"/>
          <w:szCs w:val="24"/>
        </w:rPr>
        <w:t xml:space="preserve">).  </w:t>
      </w:r>
      <w:r w:rsidR="00155477">
        <w:rPr>
          <w:rFonts w:cs="Times New Roman"/>
          <w:szCs w:val="24"/>
        </w:rPr>
        <w:t>Anonymity was maintained as</w:t>
      </w:r>
      <w:r w:rsidR="00CC7278">
        <w:rPr>
          <w:rFonts w:cs="Times New Roman"/>
          <w:szCs w:val="24"/>
        </w:rPr>
        <w:t xml:space="preserve"> secure</w:t>
      </w:r>
      <w:r w:rsidR="0060606E">
        <w:rPr>
          <w:rFonts w:cs="Times New Roman"/>
          <w:szCs w:val="24"/>
        </w:rPr>
        <w:t>;</w:t>
      </w:r>
      <w:r w:rsidR="00CC7278">
        <w:rPr>
          <w:rFonts w:cs="Times New Roman"/>
          <w:szCs w:val="24"/>
        </w:rPr>
        <w:t xml:space="preserve"> archival </w:t>
      </w:r>
      <w:r w:rsidR="00155477">
        <w:rPr>
          <w:rFonts w:cs="Times New Roman"/>
          <w:szCs w:val="24"/>
        </w:rPr>
        <w:t>data</w:t>
      </w:r>
      <w:r w:rsidR="00CC7278">
        <w:rPr>
          <w:rFonts w:cs="Times New Roman"/>
          <w:szCs w:val="24"/>
        </w:rPr>
        <w:t xml:space="preserve"> did not</w:t>
      </w:r>
      <w:r w:rsidR="00155477">
        <w:rPr>
          <w:rFonts w:cs="Times New Roman"/>
          <w:szCs w:val="24"/>
        </w:rPr>
        <w:t xml:space="preserve"> contain personal, identifiable information. Data w</w:t>
      </w:r>
      <w:r w:rsidR="005F290B">
        <w:rPr>
          <w:rFonts w:cs="Times New Roman"/>
          <w:szCs w:val="24"/>
        </w:rPr>
        <w:t>ere</w:t>
      </w:r>
      <w:r w:rsidR="00155477">
        <w:rPr>
          <w:rFonts w:cs="Times New Roman"/>
          <w:szCs w:val="24"/>
        </w:rPr>
        <w:t xml:space="preserve"> collected through the TBR BANNER secure system, coded for anonymity, confidentiality maintained, and properly stored through a password protected file. </w:t>
      </w:r>
    </w:p>
    <w:p w14:paraId="0A3110EE" w14:textId="77777777" w:rsidR="00A866B8" w:rsidRDefault="00A866B8" w:rsidP="00A866B8">
      <w:pPr>
        <w:pStyle w:val="Heading3"/>
        <w:rPr>
          <w:rFonts w:cs="Times New Roman"/>
        </w:rPr>
      </w:pPr>
      <w:bookmarkStart w:id="63" w:name="_Toc224458906"/>
      <w:r>
        <w:rPr>
          <w:rFonts w:cs="Times New Roman"/>
        </w:rPr>
        <w:t>Chapter Summary</w:t>
      </w:r>
      <w:bookmarkEnd w:id="63"/>
    </w:p>
    <w:p w14:paraId="176328D8" w14:textId="19D40DF6" w:rsidR="00505087" w:rsidRPr="00505087" w:rsidRDefault="00505087" w:rsidP="00505087">
      <w:pPr>
        <w:spacing w:before="120"/>
        <w:ind w:firstLine="720"/>
        <w:rPr>
          <w:rFonts w:eastAsia="Times New Roman" w:cs="Times New Roman"/>
          <w:color w:val="000000" w:themeColor="text1"/>
          <w:spacing w:val="3"/>
          <w:szCs w:val="24"/>
        </w:rPr>
      </w:pPr>
      <w:r w:rsidRPr="00D94893">
        <w:rPr>
          <w:rFonts w:eastAsia="Times New Roman" w:cs="Times New Roman"/>
          <w:color w:val="000000" w:themeColor="text1"/>
          <w:spacing w:val="3"/>
          <w:szCs w:val="24"/>
        </w:rPr>
        <w:t>This chapter included research questions and null hypothesis, instrumentation, population, data collection, data analysis, validity and reliability, ethical considerations, and chapter summary. Archival data were collected from the college’s office of Institutional Effectiveness and Compliance (IEC) where I utilized the Banner Student Information System as well as the Institutional Fact Book. Data w</w:t>
      </w:r>
      <w:r w:rsidR="005F290B">
        <w:rPr>
          <w:rFonts w:eastAsia="Times New Roman" w:cs="Times New Roman"/>
          <w:color w:val="000000" w:themeColor="text1"/>
          <w:spacing w:val="3"/>
          <w:szCs w:val="24"/>
        </w:rPr>
        <w:t>ere</w:t>
      </w:r>
      <w:r w:rsidRPr="00D94893">
        <w:rPr>
          <w:rFonts w:eastAsia="Times New Roman" w:cs="Times New Roman"/>
          <w:color w:val="000000" w:themeColor="text1"/>
          <w:spacing w:val="3"/>
          <w:szCs w:val="24"/>
        </w:rPr>
        <w:t xml:space="preserve"> collected </w:t>
      </w:r>
      <w:r w:rsidR="00F5317D">
        <w:rPr>
          <w:rFonts w:eastAsia="Times New Roman" w:cs="Times New Roman"/>
          <w:color w:val="000000" w:themeColor="text1"/>
          <w:spacing w:val="3"/>
          <w:szCs w:val="24"/>
        </w:rPr>
        <w:t>for</w:t>
      </w:r>
      <w:r w:rsidRPr="00D94893">
        <w:rPr>
          <w:rFonts w:eastAsia="Times New Roman" w:cs="Times New Roman"/>
          <w:color w:val="000000" w:themeColor="text1"/>
          <w:spacing w:val="3"/>
          <w:szCs w:val="24"/>
        </w:rPr>
        <w:t xml:space="preserve"> first-time, full-time students who attended a </w:t>
      </w:r>
      <w:r w:rsidR="00EC4A61" w:rsidRPr="00D94893">
        <w:rPr>
          <w:rFonts w:eastAsia="Times New Roman" w:cs="Times New Roman"/>
          <w:color w:val="000000" w:themeColor="text1"/>
          <w:spacing w:val="3"/>
          <w:szCs w:val="24"/>
        </w:rPr>
        <w:t xml:space="preserve">Tennessee </w:t>
      </w:r>
      <w:r w:rsidRPr="00D94893">
        <w:rPr>
          <w:rFonts w:eastAsia="Times New Roman" w:cs="Times New Roman"/>
          <w:color w:val="000000" w:themeColor="text1"/>
          <w:spacing w:val="3"/>
          <w:szCs w:val="24"/>
        </w:rPr>
        <w:t>community college using the 2017, 2018, 2019, 2020</w:t>
      </w:r>
      <w:r w:rsidR="00D94893" w:rsidRPr="00D94893">
        <w:rPr>
          <w:rFonts w:eastAsia="Times New Roman" w:cs="Times New Roman"/>
          <w:color w:val="000000" w:themeColor="text1"/>
          <w:spacing w:val="3"/>
          <w:szCs w:val="24"/>
        </w:rPr>
        <w:t>, and 2021</w:t>
      </w:r>
      <w:r w:rsidRPr="00D94893">
        <w:rPr>
          <w:rFonts w:eastAsia="Times New Roman" w:cs="Times New Roman"/>
          <w:color w:val="000000" w:themeColor="text1"/>
          <w:spacing w:val="3"/>
          <w:szCs w:val="24"/>
        </w:rPr>
        <w:t xml:space="preserve"> cohorts which include</w:t>
      </w:r>
      <w:r w:rsidR="00F5317D">
        <w:rPr>
          <w:rFonts w:eastAsia="Times New Roman" w:cs="Times New Roman"/>
          <w:color w:val="000000" w:themeColor="text1"/>
          <w:spacing w:val="3"/>
          <w:szCs w:val="24"/>
        </w:rPr>
        <w:t>d</w:t>
      </w:r>
      <w:r w:rsidRPr="00D94893">
        <w:rPr>
          <w:rFonts w:eastAsia="Times New Roman" w:cs="Times New Roman"/>
          <w:color w:val="000000" w:themeColor="text1"/>
          <w:spacing w:val="3"/>
          <w:szCs w:val="24"/>
        </w:rPr>
        <w:t xml:space="preserve"> </w:t>
      </w:r>
      <w:r w:rsidR="00D94893" w:rsidRPr="00D94893">
        <w:rPr>
          <w:rFonts w:eastAsia="Times New Roman" w:cs="Times New Roman"/>
          <w:color w:val="000000" w:themeColor="text1"/>
          <w:spacing w:val="3"/>
          <w:szCs w:val="24"/>
        </w:rPr>
        <w:t>6</w:t>
      </w:r>
      <w:r w:rsidRPr="00D94893">
        <w:rPr>
          <w:rFonts w:eastAsia="Times New Roman" w:cs="Times New Roman"/>
          <w:color w:val="000000" w:themeColor="text1"/>
          <w:spacing w:val="3"/>
          <w:szCs w:val="24"/>
        </w:rPr>
        <w:t>,</w:t>
      </w:r>
      <w:r w:rsidR="00D94893" w:rsidRPr="00D94893">
        <w:rPr>
          <w:rFonts w:eastAsia="Times New Roman" w:cs="Times New Roman"/>
          <w:color w:val="000000" w:themeColor="text1"/>
          <w:spacing w:val="3"/>
          <w:szCs w:val="24"/>
        </w:rPr>
        <w:t>9</w:t>
      </w:r>
      <w:r w:rsidRPr="00D94893">
        <w:rPr>
          <w:rFonts w:eastAsia="Times New Roman" w:cs="Times New Roman"/>
          <w:color w:val="000000" w:themeColor="text1"/>
          <w:spacing w:val="3"/>
          <w:szCs w:val="24"/>
        </w:rPr>
        <w:t>6</w:t>
      </w:r>
      <w:r w:rsidR="00D94893" w:rsidRPr="00D94893">
        <w:rPr>
          <w:rFonts w:eastAsia="Times New Roman" w:cs="Times New Roman"/>
          <w:color w:val="000000" w:themeColor="text1"/>
          <w:spacing w:val="3"/>
          <w:szCs w:val="24"/>
        </w:rPr>
        <w:t>9</w:t>
      </w:r>
      <w:r w:rsidRPr="00D94893">
        <w:rPr>
          <w:rFonts w:eastAsia="Times New Roman" w:cs="Times New Roman"/>
          <w:color w:val="000000" w:themeColor="text1"/>
          <w:spacing w:val="3"/>
          <w:szCs w:val="24"/>
        </w:rPr>
        <w:t xml:space="preserve"> students. </w:t>
      </w:r>
      <w:r w:rsidR="00EC79EA">
        <w:rPr>
          <w:rFonts w:cs="Times New Roman"/>
          <w:color w:val="000000" w:themeColor="text1"/>
          <w:spacing w:val="3"/>
          <w:szCs w:val="24"/>
        </w:rPr>
        <w:t xml:space="preserve">Graduation was measured by completion of an associate degree or certificate within 3 years (150%) (IPEDS, n.d.). </w:t>
      </w:r>
      <w:r w:rsidR="00EC79EA">
        <w:rPr>
          <w:rFonts w:cs="Times New Roman"/>
        </w:rPr>
        <w:t>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A total of 2,078 students met the study criteria for inclusion</w:t>
      </w:r>
      <w:r w:rsidR="00EC79EA" w:rsidRPr="004473DC">
        <w:rPr>
          <w:rFonts w:cs="Times New Roman"/>
        </w:rPr>
        <w:t>.</w:t>
      </w:r>
      <w:r w:rsidR="00EC79EA">
        <w:rPr>
          <w:rFonts w:cs="Times New Roman"/>
        </w:rPr>
        <w:t xml:space="preserve"> </w:t>
      </w:r>
      <w:r w:rsidRPr="00D94893">
        <w:rPr>
          <w:rFonts w:eastAsia="Times New Roman" w:cs="Times New Roman"/>
          <w:color w:val="000000" w:themeColor="text1"/>
          <w:spacing w:val="3"/>
          <w:szCs w:val="24"/>
        </w:rPr>
        <w:t>Results of the analysis are included in Chapter 4, with Chapter 5 providing conclusions drawn from findings, implications, and a summary of results.</w:t>
      </w:r>
    </w:p>
    <w:p w14:paraId="76027A2D" w14:textId="34E7F7FE" w:rsidR="00BC410E" w:rsidRDefault="00BC410E">
      <w:pPr>
        <w:spacing w:after="160" w:line="259" w:lineRule="auto"/>
        <w:rPr>
          <w:rFonts w:cs="Times New Roman"/>
          <w:szCs w:val="24"/>
        </w:rPr>
      </w:pPr>
    </w:p>
    <w:p w14:paraId="53E3D2DC" w14:textId="194BCA28" w:rsidR="009213B9" w:rsidRDefault="009213B9">
      <w:pPr>
        <w:spacing w:after="160" w:line="259" w:lineRule="auto"/>
        <w:rPr>
          <w:rFonts w:cs="Times New Roman"/>
          <w:szCs w:val="24"/>
        </w:rPr>
      </w:pPr>
    </w:p>
    <w:p w14:paraId="27CE285A" w14:textId="77777777" w:rsidR="00570326" w:rsidRPr="00291504" w:rsidRDefault="00570326">
      <w:pPr>
        <w:spacing w:after="160" w:line="259" w:lineRule="auto"/>
        <w:rPr>
          <w:rFonts w:cs="Times New Roman"/>
          <w:szCs w:val="24"/>
        </w:rPr>
      </w:pPr>
    </w:p>
    <w:p w14:paraId="58161352" w14:textId="487AAEED" w:rsidR="00E073CC" w:rsidRDefault="00E073CC" w:rsidP="00E073CC">
      <w:pPr>
        <w:pStyle w:val="Heading2"/>
      </w:pPr>
      <w:bookmarkStart w:id="64" w:name="_Hlk221786477"/>
      <w:bookmarkStart w:id="65" w:name="_Toc224458907"/>
      <w:r>
        <w:lastRenderedPageBreak/>
        <w:t xml:space="preserve">Chapter 4. </w:t>
      </w:r>
      <w:r w:rsidR="001831F0">
        <w:t>Findings</w:t>
      </w:r>
      <w:bookmarkEnd w:id="65"/>
    </w:p>
    <w:p w14:paraId="7067B05E" w14:textId="7BB9ADE3" w:rsidR="00D91A0D" w:rsidRDefault="00F855AD" w:rsidP="00F57E83">
      <w:pPr>
        <w:spacing w:after="160"/>
        <w:ind w:firstLine="720"/>
        <w:rPr>
          <w:rFonts w:cs="Times New Roman"/>
          <w:color w:val="000000" w:themeColor="text1"/>
          <w:spacing w:val="3"/>
          <w:szCs w:val="24"/>
        </w:rPr>
      </w:pPr>
      <w:r>
        <w:rPr>
          <w:rFonts w:eastAsia="Times New Roman" w:cs="Times New Roman"/>
          <w:color w:val="000000" w:themeColor="text1"/>
          <w:spacing w:val="3"/>
          <w:szCs w:val="24"/>
        </w:rPr>
        <w:t>The purpose of this quantitative study was to determine if there are</w:t>
      </w:r>
      <w:r w:rsidR="00F355CF">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relationships between dual enrollment and completion rates at a Tennessee community college.</w:t>
      </w:r>
      <w:r w:rsidR="00F57E83">
        <w:rPr>
          <w:rFonts w:eastAsia="Times New Roman" w:cs="Times New Roman"/>
          <w:color w:val="000000" w:themeColor="text1"/>
          <w:spacing w:val="3"/>
          <w:szCs w:val="24"/>
        </w:rPr>
        <w:t xml:space="preserve"> </w:t>
      </w:r>
      <w:r w:rsidR="00B72608" w:rsidRPr="00A866B8">
        <w:rPr>
          <w:rFonts w:cs="Times New Roman"/>
          <w:color w:val="000000" w:themeColor="text1"/>
          <w:spacing w:val="3"/>
          <w:szCs w:val="24"/>
        </w:rPr>
        <w:t>Subgroups include</w:t>
      </w:r>
      <w:r w:rsidR="00B72608">
        <w:rPr>
          <w:rFonts w:cs="Times New Roman"/>
          <w:color w:val="000000" w:themeColor="text1"/>
          <w:spacing w:val="3"/>
          <w:szCs w:val="24"/>
        </w:rPr>
        <w:t>d</w:t>
      </w:r>
      <w:r w:rsidR="00B72608" w:rsidRPr="00A866B8">
        <w:rPr>
          <w:rFonts w:cs="Times New Roman"/>
          <w:color w:val="000000" w:themeColor="text1"/>
          <w:spacing w:val="3"/>
          <w:szCs w:val="24"/>
        </w:rPr>
        <w:t xml:space="preserve"> dual enrollment completion versus non-dual enrollment completion, </w:t>
      </w:r>
      <w:r w:rsidR="00B72608">
        <w:rPr>
          <w:rFonts w:cs="Times New Roman"/>
          <w:color w:val="000000" w:themeColor="text1"/>
          <w:spacing w:val="3"/>
          <w:szCs w:val="24"/>
        </w:rPr>
        <w:t>grade point average (</w:t>
      </w:r>
      <w:r w:rsidR="00B72608" w:rsidRPr="00A866B8">
        <w:rPr>
          <w:rFonts w:cs="Times New Roman"/>
          <w:color w:val="000000" w:themeColor="text1"/>
          <w:spacing w:val="3"/>
          <w:szCs w:val="24"/>
        </w:rPr>
        <w:t>GPA</w:t>
      </w:r>
      <w:r w:rsidR="00B72608">
        <w:rPr>
          <w:rFonts w:cs="Times New Roman"/>
          <w:color w:val="000000" w:themeColor="text1"/>
          <w:spacing w:val="3"/>
          <w:szCs w:val="24"/>
        </w:rPr>
        <w:t>)</w:t>
      </w:r>
      <w:r w:rsidR="00B72608" w:rsidRPr="00A866B8">
        <w:rPr>
          <w:rFonts w:cs="Times New Roman"/>
          <w:color w:val="000000" w:themeColor="text1"/>
          <w:spacing w:val="3"/>
          <w:szCs w:val="24"/>
        </w:rPr>
        <w:t>,</w:t>
      </w:r>
      <w:r w:rsidR="00B72608" w:rsidRPr="00127357">
        <w:rPr>
          <w:rFonts w:cs="Times New Roman"/>
          <w:color w:val="000000" w:themeColor="text1"/>
          <w:spacing w:val="3"/>
          <w:szCs w:val="24"/>
        </w:rPr>
        <w:t xml:space="preserve"> enrollment status (part-time or full-time</w:t>
      </w:r>
      <w:r w:rsidR="00B72608">
        <w:rPr>
          <w:rFonts w:cs="Times New Roman"/>
          <w:color w:val="000000" w:themeColor="text1"/>
          <w:spacing w:val="3"/>
          <w:szCs w:val="24"/>
        </w:rPr>
        <w:t>)</w:t>
      </w:r>
      <w:r w:rsidR="00B72608" w:rsidRPr="00127357">
        <w:rPr>
          <w:rFonts w:cs="Times New Roman"/>
          <w:color w:val="000000" w:themeColor="text1"/>
          <w:spacing w:val="3"/>
          <w:szCs w:val="24"/>
        </w:rPr>
        <w:t>, retention rate (</w:t>
      </w:r>
      <w:r w:rsidR="00525B86">
        <w:rPr>
          <w:rFonts w:cs="Times New Roman"/>
          <w:color w:val="000000" w:themeColor="text1"/>
          <w:spacing w:val="3"/>
          <w:szCs w:val="24"/>
        </w:rPr>
        <w:t>f</w:t>
      </w:r>
      <w:r w:rsidR="00B72608" w:rsidRPr="00127357">
        <w:rPr>
          <w:rFonts w:cs="Times New Roman"/>
          <w:color w:val="000000" w:themeColor="text1"/>
          <w:spacing w:val="3"/>
          <w:szCs w:val="24"/>
        </w:rPr>
        <w:t xml:space="preserve">all to </w:t>
      </w:r>
      <w:r w:rsidR="00525B86">
        <w:rPr>
          <w:rFonts w:cs="Times New Roman"/>
          <w:color w:val="000000" w:themeColor="text1"/>
          <w:spacing w:val="3"/>
          <w:szCs w:val="24"/>
        </w:rPr>
        <w:t>s</w:t>
      </w:r>
      <w:r w:rsidR="00B72608" w:rsidRPr="00127357">
        <w:rPr>
          <w:rFonts w:cs="Times New Roman"/>
          <w:color w:val="000000" w:themeColor="text1"/>
          <w:spacing w:val="3"/>
          <w:szCs w:val="24"/>
        </w:rPr>
        <w:t>pring), retention rate (</w:t>
      </w:r>
      <w:r w:rsidR="00525B86">
        <w:rPr>
          <w:rFonts w:cs="Times New Roman"/>
          <w:color w:val="000000" w:themeColor="text1"/>
          <w:spacing w:val="3"/>
          <w:szCs w:val="24"/>
        </w:rPr>
        <w:t>f</w:t>
      </w:r>
      <w:r w:rsidR="00B72608" w:rsidRPr="00127357">
        <w:rPr>
          <w:rFonts w:cs="Times New Roman"/>
          <w:color w:val="000000" w:themeColor="text1"/>
          <w:spacing w:val="3"/>
          <w:szCs w:val="24"/>
        </w:rPr>
        <w:t xml:space="preserve">all to </w:t>
      </w:r>
      <w:r w:rsidR="00525B86">
        <w:rPr>
          <w:rFonts w:cs="Times New Roman"/>
          <w:color w:val="000000" w:themeColor="text1"/>
          <w:spacing w:val="3"/>
          <w:szCs w:val="24"/>
        </w:rPr>
        <w:t>f</w:t>
      </w:r>
      <w:r w:rsidR="00B72608" w:rsidRPr="00127357">
        <w:rPr>
          <w:rFonts w:cs="Times New Roman"/>
          <w:color w:val="000000" w:themeColor="text1"/>
          <w:spacing w:val="3"/>
          <w:szCs w:val="24"/>
        </w:rPr>
        <w:t>all), academic credits (30 or more semester credits)</w:t>
      </w:r>
      <w:r w:rsidR="00B72608">
        <w:rPr>
          <w:rFonts w:cs="Times New Roman"/>
          <w:color w:val="000000" w:themeColor="text1"/>
          <w:spacing w:val="3"/>
          <w:szCs w:val="24"/>
        </w:rPr>
        <w:t>,</w:t>
      </w:r>
      <w:r w:rsidR="00B72608" w:rsidRPr="00127357">
        <w:rPr>
          <w:rFonts w:cs="Times New Roman"/>
          <w:color w:val="000000" w:themeColor="text1"/>
          <w:spacing w:val="3"/>
          <w:szCs w:val="24"/>
        </w:rPr>
        <w:t xml:space="preserve"> and academic credits (number earned at the end of their freshman year).</w:t>
      </w:r>
      <w:r w:rsidR="00B72608">
        <w:rPr>
          <w:rFonts w:cs="Times New Roman"/>
          <w:color w:val="000000" w:themeColor="text1"/>
          <w:spacing w:val="3"/>
          <w:szCs w:val="24"/>
        </w:rPr>
        <w:t xml:space="preserve"> </w:t>
      </w:r>
      <w:r w:rsidR="003A69C6">
        <w:rPr>
          <w:rFonts w:eastAsia="Times New Roman" w:cs="Times New Roman"/>
          <w:color w:val="000000" w:themeColor="text1"/>
          <w:spacing w:val="3"/>
          <w:szCs w:val="24"/>
        </w:rPr>
        <w:t xml:space="preserve">Archival data were used from a </w:t>
      </w:r>
      <w:r w:rsidR="00B72608">
        <w:rPr>
          <w:rFonts w:eastAsia="Times New Roman" w:cs="Times New Roman"/>
          <w:color w:val="000000" w:themeColor="text1"/>
          <w:spacing w:val="3"/>
          <w:szCs w:val="24"/>
        </w:rPr>
        <w:t xml:space="preserve">Tennessee </w:t>
      </w:r>
      <w:r w:rsidR="003A69C6">
        <w:rPr>
          <w:rFonts w:eastAsia="Times New Roman" w:cs="Times New Roman"/>
          <w:color w:val="000000" w:themeColor="text1"/>
          <w:spacing w:val="3"/>
          <w:szCs w:val="24"/>
        </w:rPr>
        <w:t xml:space="preserve">community college governed by the Tennessee Board of Regents. </w:t>
      </w:r>
      <w:r w:rsidR="00B12E4E" w:rsidRPr="00613E94">
        <w:rPr>
          <w:rFonts w:cs="Times New Roman"/>
          <w:color w:val="000000" w:themeColor="text1"/>
          <w:spacing w:val="3"/>
          <w:szCs w:val="24"/>
        </w:rPr>
        <w:t xml:space="preserve">The findings of this </w:t>
      </w:r>
      <w:r w:rsidR="00B12E4E">
        <w:rPr>
          <w:rFonts w:cs="Times New Roman"/>
          <w:color w:val="000000" w:themeColor="text1"/>
          <w:spacing w:val="3"/>
          <w:szCs w:val="24"/>
        </w:rPr>
        <w:t xml:space="preserve">study may contribute to a better understanding of the effectiveness of dual enrollment as a strategy to support timely degree completion, inform institutional practices, and policy decisions related to early postsecondary opportunities. </w:t>
      </w:r>
      <w:r w:rsidR="003A69C6">
        <w:rPr>
          <w:rFonts w:cs="Times New Roman"/>
          <w:color w:val="000000" w:themeColor="text1"/>
          <w:spacing w:val="3"/>
          <w:szCs w:val="24"/>
        </w:rPr>
        <w:t xml:space="preserve">The sections included in the chapter provide descriptive data, research questions, and the findings. </w:t>
      </w:r>
    </w:p>
    <w:p w14:paraId="795814ED" w14:textId="059EBA94" w:rsidR="003A69C6" w:rsidRDefault="0007546C" w:rsidP="003A69C6">
      <w:pPr>
        <w:pStyle w:val="Heading3"/>
        <w:rPr>
          <w:rFonts w:cs="Times New Roman"/>
        </w:rPr>
      </w:pPr>
      <w:bookmarkStart w:id="66" w:name="_Toc224458908"/>
      <w:r>
        <w:rPr>
          <w:rFonts w:cs="Times New Roman"/>
        </w:rPr>
        <w:t>Population</w:t>
      </w:r>
      <w:bookmarkEnd w:id="66"/>
    </w:p>
    <w:p w14:paraId="54D4EA58" w14:textId="336876C6" w:rsidR="00C310B1" w:rsidRPr="00C310B1" w:rsidRDefault="00C310B1" w:rsidP="00C310B1">
      <w:pPr>
        <w:ind w:firstLine="720"/>
        <w:rPr>
          <w:rFonts w:cs="Times New Roman"/>
        </w:rPr>
      </w:pPr>
      <w:r w:rsidRPr="00741C1C">
        <w:rPr>
          <w:rFonts w:cs="Times New Roman"/>
        </w:rPr>
        <w:t>There were</w:t>
      </w:r>
      <w:r>
        <w:rPr>
          <w:rFonts w:cs="Times New Roman"/>
        </w:rPr>
        <w:t xml:space="preserve"> 6,969 first-time, full-time students registered at the participating community college during the three-year time period of this study (fall 2017 through spring 2021). 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This distinction is important because it allowed for the comparison of students with similar academic backgrounds to be analyzed in each of the research questions. A total of 2,078 students met the study criteria for inclusion. Dual enrollment students made up 44% of the sample and 56% were non-dual enrollment students.</w:t>
      </w:r>
      <w:r w:rsidRPr="00545077">
        <w:t xml:space="preserve"> </w:t>
      </w:r>
      <w:r>
        <w:t xml:space="preserve">The population included 59% </w:t>
      </w:r>
      <w:r>
        <w:lastRenderedPageBreak/>
        <w:t xml:space="preserve">females and 41% males. Ninety-one percent of the study population were White, 3.6% Hispanic or Latino, 0.7% Black, and 4.7% other. Twenty-three percent of the student population were </w:t>
      </w:r>
      <w:r w:rsidRPr="00E36F5D">
        <w:rPr>
          <w:rFonts w:cs="Times New Roman"/>
          <w:iCs/>
          <w:color w:val="000000" w:themeColor="text1"/>
          <w:szCs w:val="24"/>
        </w:rPr>
        <w:t>Supporting Access in Rural Counties (SPARC)</w:t>
      </w:r>
      <w:r w:rsidRPr="00E36F5D">
        <w:rPr>
          <w:iCs/>
        </w:rPr>
        <w:t xml:space="preserve"> </w:t>
      </w:r>
      <w:r>
        <w:rPr>
          <w:iCs/>
        </w:rPr>
        <w:t xml:space="preserve">students </w:t>
      </w:r>
      <w:r>
        <w:t>and 77% were not SPARC students. Pell eligible students represented 56% of the population and non-Pell eligible made up 44%. First generation students made up 42% of the study population while 58% were not first generation. See Table 1 for the demographic data.</w:t>
      </w:r>
    </w:p>
    <w:p w14:paraId="24C35493" w14:textId="5364BF28" w:rsidR="003E7440" w:rsidRPr="00C534AC" w:rsidRDefault="003E7440" w:rsidP="00C534AC">
      <w:pPr>
        <w:rPr>
          <w:b/>
          <w:bCs/>
        </w:rPr>
      </w:pPr>
      <w:r w:rsidRPr="00C534AC">
        <w:rPr>
          <w:b/>
          <w:bCs/>
        </w:rPr>
        <w:t>Table 1</w:t>
      </w:r>
    </w:p>
    <w:p w14:paraId="5EC0CD90" w14:textId="0B761A15" w:rsidR="00305615" w:rsidRPr="00472F96" w:rsidRDefault="003E7440" w:rsidP="003E7440">
      <w:pPr>
        <w:rPr>
          <w:i/>
          <w:iCs/>
        </w:rPr>
      </w:pPr>
      <w:r w:rsidRPr="00575D6C">
        <w:rPr>
          <w:i/>
          <w:iCs/>
        </w:rPr>
        <w:t>Characteristics of Study Population by Dual Enrollment Status</w:t>
      </w:r>
    </w:p>
    <w:tbl>
      <w:tblPr>
        <w:tblStyle w:val="TableGrid1"/>
        <w:tblW w:w="0" w:type="auto"/>
        <w:tblLook w:val="04A0" w:firstRow="1" w:lastRow="0" w:firstColumn="1" w:lastColumn="0" w:noHBand="0" w:noVBand="1"/>
      </w:tblPr>
      <w:tblGrid>
        <w:gridCol w:w="2672"/>
        <w:gridCol w:w="1335"/>
        <w:gridCol w:w="1335"/>
        <w:gridCol w:w="1336"/>
        <w:gridCol w:w="1336"/>
        <w:gridCol w:w="1336"/>
      </w:tblGrid>
      <w:tr w:rsidR="00472F96" w:rsidRPr="00472F96" w14:paraId="279A61C2" w14:textId="77777777" w:rsidTr="00EC2CFC">
        <w:tc>
          <w:tcPr>
            <w:tcW w:w="2672" w:type="dxa"/>
            <w:tcBorders>
              <w:top w:val="single" w:sz="4" w:space="0" w:color="auto"/>
              <w:left w:val="nil"/>
              <w:bottom w:val="nil"/>
              <w:right w:val="nil"/>
            </w:tcBorders>
          </w:tcPr>
          <w:p w14:paraId="232D14F9" w14:textId="77777777" w:rsidR="00472F96" w:rsidRPr="00472F96" w:rsidRDefault="00472F96" w:rsidP="00472F96">
            <w:pPr>
              <w:spacing w:line="240" w:lineRule="auto"/>
              <w:rPr>
                <w:sz w:val="22"/>
              </w:rPr>
            </w:pPr>
          </w:p>
        </w:tc>
        <w:tc>
          <w:tcPr>
            <w:tcW w:w="2670" w:type="dxa"/>
            <w:gridSpan w:val="2"/>
            <w:tcBorders>
              <w:top w:val="single" w:sz="4" w:space="0" w:color="auto"/>
              <w:left w:val="nil"/>
              <w:bottom w:val="single" w:sz="4" w:space="0" w:color="auto"/>
              <w:right w:val="nil"/>
            </w:tcBorders>
            <w:vAlign w:val="center"/>
          </w:tcPr>
          <w:p w14:paraId="138A4A55" w14:textId="77777777" w:rsidR="00472F96" w:rsidRPr="00472F96" w:rsidRDefault="00472F96" w:rsidP="00472F96">
            <w:pPr>
              <w:spacing w:line="240" w:lineRule="auto"/>
              <w:rPr>
                <w:sz w:val="22"/>
              </w:rPr>
            </w:pPr>
            <w:r w:rsidRPr="00472F96">
              <w:rPr>
                <w:sz w:val="22"/>
              </w:rPr>
              <w:t>Dual Enrollment</w:t>
            </w:r>
          </w:p>
        </w:tc>
        <w:tc>
          <w:tcPr>
            <w:tcW w:w="2672" w:type="dxa"/>
            <w:gridSpan w:val="2"/>
            <w:tcBorders>
              <w:top w:val="single" w:sz="4" w:space="0" w:color="auto"/>
              <w:left w:val="nil"/>
              <w:bottom w:val="single" w:sz="4" w:space="0" w:color="auto"/>
              <w:right w:val="nil"/>
            </w:tcBorders>
            <w:vAlign w:val="center"/>
          </w:tcPr>
          <w:p w14:paraId="3B52695C" w14:textId="77777777" w:rsidR="00472F96" w:rsidRPr="00472F96" w:rsidRDefault="00472F96" w:rsidP="00472F96">
            <w:pPr>
              <w:spacing w:line="240" w:lineRule="auto"/>
              <w:jc w:val="center"/>
              <w:rPr>
                <w:sz w:val="22"/>
              </w:rPr>
            </w:pPr>
            <w:r w:rsidRPr="00472F96">
              <w:rPr>
                <w:sz w:val="22"/>
              </w:rPr>
              <w:t>Non-Dual Enrollment</w:t>
            </w:r>
          </w:p>
        </w:tc>
        <w:tc>
          <w:tcPr>
            <w:tcW w:w="1336" w:type="dxa"/>
            <w:tcBorders>
              <w:top w:val="single" w:sz="4" w:space="0" w:color="auto"/>
              <w:left w:val="nil"/>
              <w:bottom w:val="nil"/>
              <w:right w:val="nil"/>
            </w:tcBorders>
          </w:tcPr>
          <w:p w14:paraId="63A0B707" w14:textId="77777777" w:rsidR="00472F96" w:rsidRPr="00472F96" w:rsidRDefault="00472F96" w:rsidP="00472F96">
            <w:pPr>
              <w:spacing w:line="240" w:lineRule="auto"/>
              <w:rPr>
                <w:sz w:val="22"/>
              </w:rPr>
            </w:pPr>
          </w:p>
        </w:tc>
      </w:tr>
      <w:tr w:rsidR="00472F96" w:rsidRPr="00472F96" w14:paraId="17F5C910" w14:textId="77777777" w:rsidTr="00EC2CFC">
        <w:tc>
          <w:tcPr>
            <w:tcW w:w="2672" w:type="dxa"/>
            <w:tcBorders>
              <w:top w:val="nil"/>
              <w:left w:val="nil"/>
              <w:bottom w:val="single" w:sz="4" w:space="0" w:color="auto"/>
              <w:right w:val="nil"/>
            </w:tcBorders>
          </w:tcPr>
          <w:p w14:paraId="68A51DA0" w14:textId="77777777" w:rsidR="00472F96" w:rsidRPr="00472F96" w:rsidRDefault="00472F96" w:rsidP="00472F96">
            <w:pPr>
              <w:spacing w:line="240" w:lineRule="auto"/>
              <w:rPr>
                <w:sz w:val="22"/>
              </w:rPr>
            </w:pPr>
          </w:p>
        </w:tc>
        <w:tc>
          <w:tcPr>
            <w:tcW w:w="1335" w:type="dxa"/>
            <w:tcBorders>
              <w:top w:val="single" w:sz="4" w:space="0" w:color="auto"/>
              <w:left w:val="nil"/>
              <w:bottom w:val="single" w:sz="4" w:space="0" w:color="auto"/>
              <w:right w:val="nil"/>
            </w:tcBorders>
            <w:vAlign w:val="center"/>
          </w:tcPr>
          <w:p w14:paraId="216E6E46" w14:textId="77777777" w:rsidR="00472F96" w:rsidRPr="00472F96" w:rsidRDefault="00472F96" w:rsidP="00472F96">
            <w:pPr>
              <w:spacing w:line="240" w:lineRule="auto"/>
              <w:jc w:val="center"/>
              <w:rPr>
                <w:sz w:val="22"/>
              </w:rPr>
            </w:pPr>
            <w:r w:rsidRPr="00472F96">
              <w:rPr>
                <w:sz w:val="22"/>
              </w:rPr>
              <w:t>N</w:t>
            </w:r>
          </w:p>
        </w:tc>
        <w:tc>
          <w:tcPr>
            <w:tcW w:w="1335" w:type="dxa"/>
            <w:tcBorders>
              <w:top w:val="single" w:sz="4" w:space="0" w:color="auto"/>
              <w:left w:val="nil"/>
              <w:bottom w:val="single" w:sz="4" w:space="0" w:color="auto"/>
              <w:right w:val="nil"/>
            </w:tcBorders>
            <w:vAlign w:val="center"/>
          </w:tcPr>
          <w:p w14:paraId="24894388" w14:textId="77777777" w:rsidR="00472F96" w:rsidRPr="00472F96" w:rsidRDefault="00472F96" w:rsidP="00472F96">
            <w:pPr>
              <w:spacing w:line="240" w:lineRule="auto"/>
              <w:jc w:val="center"/>
              <w:rPr>
                <w:sz w:val="22"/>
              </w:rPr>
            </w:pPr>
            <w:r w:rsidRPr="00472F96">
              <w:rPr>
                <w:sz w:val="22"/>
              </w:rPr>
              <w:t>%</w:t>
            </w:r>
          </w:p>
        </w:tc>
        <w:tc>
          <w:tcPr>
            <w:tcW w:w="1336" w:type="dxa"/>
            <w:tcBorders>
              <w:top w:val="single" w:sz="4" w:space="0" w:color="auto"/>
              <w:left w:val="nil"/>
              <w:bottom w:val="single" w:sz="4" w:space="0" w:color="auto"/>
              <w:right w:val="nil"/>
            </w:tcBorders>
            <w:vAlign w:val="center"/>
          </w:tcPr>
          <w:p w14:paraId="40F0728D" w14:textId="77777777" w:rsidR="00472F96" w:rsidRPr="00472F96" w:rsidRDefault="00472F96" w:rsidP="00472F96">
            <w:pPr>
              <w:spacing w:line="240" w:lineRule="auto"/>
              <w:jc w:val="center"/>
              <w:rPr>
                <w:sz w:val="22"/>
              </w:rPr>
            </w:pPr>
            <w:r w:rsidRPr="00472F96">
              <w:rPr>
                <w:sz w:val="22"/>
              </w:rPr>
              <w:t>N</w:t>
            </w:r>
          </w:p>
        </w:tc>
        <w:tc>
          <w:tcPr>
            <w:tcW w:w="1336" w:type="dxa"/>
            <w:tcBorders>
              <w:top w:val="single" w:sz="4" w:space="0" w:color="auto"/>
              <w:left w:val="nil"/>
              <w:bottom w:val="single" w:sz="4" w:space="0" w:color="auto"/>
              <w:right w:val="nil"/>
            </w:tcBorders>
            <w:vAlign w:val="center"/>
          </w:tcPr>
          <w:p w14:paraId="63676343" w14:textId="77777777" w:rsidR="00472F96" w:rsidRPr="00472F96" w:rsidRDefault="00472F96" w:rsidP="00472F96">
            <w:pPr>
              <w:spacing w:line="240" w:lineRule="auto"/>
              <w:jc w:val="center"/>
              <w:rPr>
                <w:sz w:val="22"/>
              </w:rPr>
            </w:pPr>
            <w:r w:rsidRPr="00472F96">
              <w:rPr>
                <w:sz w:val="22"/>
              </w:rPr>
              <w:t>%</w:t>
            </w:r>
          </w:p>
        </w:tc>
        <w:tc>
          <w:tcPr>
            <w:tcW w:w="1336" w:type="dxa"/>
            <w:tcBorders>
              <w:top w:val="nil"/>
              <w:left w:val="nil"/>
              <w:bottom w:val="single" w:sz="4" w:space="0" w:color="auto"/>
              <w:right w:val="nil"/>
            </w:tcBorders>
            <w:vAlign w:val="center"/>
          </w:tcPr>
          <w:p w14:paraId="1057EB97" w14:textId="77777777" w:rsidR="00472F96" w:rsidRPr="00472F96" w:rsidRDefault="00472F96" w:rsidP="00472F96">
            <w:pPr>
              <w:spacing w:line="240" w:lineRule="auto"/>
              <w:jc w:val="center"/>
              <w:rPr>
                <w:sz w:val="22"/>
              </w:rPr>
            </w:pPr>
            <w:r w:rsidRPr="00472F96">
              <w:rPr>
                <w:sz w:val="22"/>
              </w:rPr>
              <w:t>Total</w:t>
            </w:r>
          </w:p>
        </w:tc>
      </w:tr>
      <w:tr w:rsidR="00472F96" w:rsidRPr="00472F96" w14:paraId="2FC06876" w14:textId="77777777" w:rsidTr="00EC2CFC">
        <w:tc>
          <w:tcPr>
            <w:tcW w:w="2672" w:type="dxa"/>
            <w:tcBorders>
              <w:top w:val="single" w:sz="4" w:space="0" w:color="auto"/>
              <w:left w:val="nil"/>
              <w:bottom w:val="nil"/>
              <w:right w:val="nil"/>
            </w:tcBorders>
            <w:vAlign w:val="center"/>
          </w:tcPr>
          <w:p w14:paraId="4B2F300C" w14:textId="77777777" w:rsidR="00472F96" w:rsidRPr="00472F96" w:rsidRDefault="00472F96" w:rsidP="00472F96">
            <w:pPr>
              <w:spacing w:line="240" w:lineRule="auto"/>
              <w:rPr>
                <w:sz w:val="22"/>
              </w:rPr>
            </w:pPr>
          </w:p>
          <w:p w14:paraId="6C530FE7" w14:textId="77777777" w:rsidR="00472F96" w:rsidRPr="00472F96" w:rsidRDefault="00472F96" w:rsidP="00472F96">
            <w:pPr>
              <w:spacing w:line="240" w:lineRule="auto"/>
              <w:rPr>
                <w:sz w:val="22"/>
              </w:rPr>
            </w:pPr>
            <w:r w:rsidRPr="00472F96">
              <w:rPr>
                <w:sz w:val="22"/>
              </w:rPr>
              <w:t>Population</w:t>
            </w:r>
          </w:p>
        </w:tc>
        <w:tc>
          <w:tcPr>
            <w:tcW w:w="1335" w:type="dxa"/>
            <w:tcBorders>
              <w:top w:val="single" w:sz="4" w:space="0" w:color="auto"/>
              <w:left w:val="nil"/>
              <w:bottom w:val="nil"/>
              <w:right w:val="nil"/>
            </w:tcBorders>
            <w:vAlign w:val="center"/>
          </w:tcPr>
          <w:p w14:paraId="4995FF10" w14:textId="77777777" w:rsidR="00472F96" w:rsidRPr="00472F96" w:rsidRDefault="00472F96" w:rsidP="00472F96">
            <w:pPr>
              <w:tabs>
                <w:tab w:val="decimal" w:pos="730"/>
              </w:tabs>
              <w:spacing w:line="240" w:lineRule="auto"/>
              <w:rPr>
                <w:sz w:val="22"/>
              </w:rPr>
            </w:pPr>
          </w:p>
          <w:p w14:paraId="1A66E341" w14:textId="77777777" w:rsidR="00472F96" w:rsidRPr="00472F96" w:rsidRDefault="00472F96" w:rsidP="00472F96">
            <w:pPr>
              <w:tabs>
                <w:tab w:val="decimal" w:pos="730"/>
              </w:tabs>
              <w:spacing w:line="240" w:lineRule="auto"/>
              <w:rPr>
                <w:sz w:val="22"/>
              </w:rPr>
            </w:pPr>
            <w:r w:rsidRPr="00472F96">
              <w:rPr>
                <w:sz w:val="22"/>
              </w:rPr>
              <w:t>916</w:t>
            </w:r>
          </w:p>
        </w:tc>
        <w:tc>
          <w:tcPr>
            <w:tcW w:w="1335" w:type="dxa"/>
            <w:tcBorders>
              <w:top w:val="single" w:sz="4" w:space="0" w:color="auto"/>
              <w:left w:val="nil"/>
              <w:bottom w:val="nil"/>
              <w:right w:val="nil"/>
            </w:tcBorders>
            <w:vAlign w:val="center"/>
          </w:tcPr>
          <w:p w14:paraId="7828F14D" w14:textId="77777777" w:rsidR="00472F96" w:rsidRPr="00472F96" w:rsidRDefault="00472F96" w:rsidP="00EB3070">
            <w:pPr>
              <w:tabs>
                <w:tab w:val="decimal" w:pos="563"/>
              </w:tabs>
              <w:spacing w:line="240" w:lineRule="auto"/>
              <w:rPr>
                <w:sz w:val="22"/>
              </w:rPr>
            </w:pPr>
          </w:p>
          <w:p w14:paraId="55BE1C1F" w14:textId="45FE648E" w:rsidR="00472F96" w:rsidRPr="00472F96" w:rsidRDefault="00472F96" w:rsidP="00EB3070">
            <w:pPr>
              <w:tabs>
                <w:tab w:val="decimal" w:pos="563"/>
              </w:tabs>
              <w:spacing w:line="240" w:lineRule="auto"/>
              <w:rPr>
                <w:sz w:val="22"/>
              </w:rPr>
            </w:pPr>
            <w:r w:rsidRPr="00472F96">
              <w:rPr>
                <w:sz w:val="22"/>
              </w:rPr>
              <w:t>44</w:t>
            </w:r>
            <w:r w:rsidR="00EB3070">
              <w:rPr>
                <w:sz w:val="22"/>
              </w:rPr>
              <w:t>.1</w:t>
            </w:r>
          </w:p>
        </w:tc>
        <w:tc>
          <w:tcPr>
            <w:tcW w:w="1336" w:type="dxa"/>
            <w:tcBorders>
              <w:top w:val="single" w:sz="4" w:space="0" w:color="auto"/>
              <w:left w:val="nil"/>
              <w:bottom w:val="nil"/>
              <w:right w:val="nil"/>
            </w:tcBorders>
            <w:vAlign w:val="center"/>
          </w:tcPr>
          <w:p w14:paraId="7949A28E" w14:textId="77777777" w:rsidR="00472F96" w:rsidRPr="00472F96" w:rsidRDefault="00472F96" w:rsidP="00472F96">
            <w:pPr>
              <w:tabs>
                <w:tab w:val="decimal" w:pos="758"/>
              </w:tabs>
              <w:spacing w:line="240" w:lineRule="auto"/>
              <w:rPr>
                <w:sz w:val="22"/>
              </w:rPr>
            </w:pPr>
          </w:p>
          <w:p w14:paraId="18EE24DD" w14:textId="77777777" w:rsidR="00472F96" w:rsidRPr="00472F96" w:rsidRDefault="00472F96" w:rsidP="00472F96">
            <w:pPr>
              <w:tabs>
                <w:tab w:val="decimal" w:pos="758"/>
              </w:tabs>
              <w:spacing w:line="240" w:lineRule="auto"/>
              <w:rPr>
                <w:sz w:val="22"/>
              </w:rPr>
            </w:pPr>
            <w:r w:rsidRPr="00472F96">
              <w:rPr>
                <w:sz w:val="22"/>
              </w:rPr>
              <w:t>1162</w:t>
            </w:r>
          </w:p>
        </w:tc>
        <w:tc>
          <w:tcPr>
            <w:tcW w:w="1336" w:type="dxa"/>
            <w:tcBorders>
              <w:top w:val="single" w:sz="4" w:space="0" w:color="auto"/>
              <w:left w:val="nil"/>
              <w:bottom w:val="nil"/>
              <w:right w:val="nil"/>
            </w:tcBorders>
            <w:vAlign w:val="center"/>
          </w:tcPr>
          <w:p w14:paraId="0308EEC2" w14:textId="77777777" w:rsidR="00472F96" w:rsidRPr="00472F96" w:rsidRDefault="00472F96" w:rsidP="00EB3070">
            <w:pPr>
              <w:tabs>
                <w:tab w:val="decimal" w:pos="595"/>
              </w:tabs>
              <w:spacing w:line="240" w:lineRule="auto"/>
              <w:rPr>
                <w:sz w:val="22"/>
              </w:rPr>
            </w:pPr>
          </w:p>
          <w:p w14:paraId="08BC2BFF" w14:textId="69BA1418" w:rsidR="00472F96" w:rsidRPr="00472F96" w:rsidRDefault="00472F96" w:rsidP="00EB3070">
            <w:pPr>
              <w:tabs>
                <w:tab w:val="decimal" w:pos="595"/>
              </w:tabs>
              <w:spacing w:line="240" w:lineRule="auto"/>
              <w:rPr>
                <w:sz w:val="22"/>
              </w:rPr>
            </w:pPr>
            <w:r w:rsidRPr="00472F96">
              <w:rPr>
                <w:sz w:val="22"/>
              </w:rPr>
              <w:t>56</w:t>
            </w:r>
            <w:r w:rsidR="00EB3070">
              <w:rPr>
                <w:sz w:val="22"/>
              </w:rPr>
              <w:t>.9</w:t>
            </w:r>
          </w:p>
        </w:tc>
        <w:tc>
          <w:tcPr>
            <w:tcW w:w="1336" w:type="dxa"/>
            <w:tcBorders>
              <w:top w:val="single" w:sz="4" w:space="0" w:color="auto"/>
              <w:left w:val="nil"/>
              <w:bottom w:val="nil"/>
              <w:right w:val="nil"/>
            </w:tcBorders>
            <w:vAlign w:val="center"/>
          </w:tcPr>
          <w:p w14:paraId="35F08CDD" w14:textId="77777777" w:rsidR="00472F96" w:rsidRPr="00472F96" w:rsidRDefault="00472F96" w:rsidP="00472F96">
            <w:pPr>
              <w:tabs>
                <w:tab w:val="decimal" w:pos="876"/>
              </w:tabs>
              <w:spacing w:line="240" w:lineRule="auto"/>
              <w:rPr>
                <w:sz w:val="22"/>
              </w:rPr>
            </w:pPr>
          </w:p>
          <w:p w14:paraId="6858BFBB" w14:textId="77777777" w:rsidR="00472F96" w:rsidRPr="00472F96" w:rsidRDefault="00472F96" w:rsidP="00472F96">
            <w:pPr>
              <w:tabs>
                <w:tab w:val="decimal" w:pos="876"/>
              </w:tabs>
              <w:spacing w:line="240" w:lineRule="auto"/>
              <w:rPr>
                <w:sz w:val="22"/>
              </w:rPr>
            </w:pPr>
            <w:r w:rsidRPr="00472F96">
              <w:rPr>
                <w:sz w:val="22"/>
              </w:rPr>
              <w:t>2,078</w:t>
            </w:r>
          </w:p>
        </w:tc>
      </w:tr>
      <w:tr w:rsidR="00472F96" w:rsidRPr="00472F96" w14:paraId="6F60AEC6" w14:textId="77777777" w:rsidTr="00EC2CFC">
        <w:tc>
          <w:tcPr>
            <w:tcW w:w="2672" w:type="dxa"/>
            <w:tcBorders>
              <w:top w:val="nil"/>
              <w:left w:val="nil"/>
              <w:bottom w:val="nil"/>
              <w:right w:val="nil"/>
            </w:tcBorders>
            <w:vAlign w:val="center"/>
          </w:tcPr>
          <w:p w14:paraId="0374568E" w14:textId="77777777" w:rsidR="00472F96" w:rsidRPr="00472F96" w:rsidRDefault="00472F96" w:rsidP="00472F96">
            <w:pPr>
              <w:spacing w:line="240" w:lineRule="auto"/>
              <w:rPr>
                <w:sz w:val="22"/>
                <w:u w:val="single"/>
              </w:rPr>
            </w:pPr>
          </w:p>
          <w:p w14:paraId="21293757" w14:textId="77777777" w:rsidR="00472F96" w:rsidRPr="00472F96" w:rsidRDefault="00472F96" w:rsidP="00472F96">
            <w:pPr>
              <w:spacing w:line="240" w:lineRule="auto"/>
              <w:rPr>
                <w:sz w:val="22"/>
                <w:u w:val="single"/>
              </w:rPr>
            </w:pPr>
            <w:r w:rsidRPr="00472F96">
              <w:rPr>
                <w:sz w:val="22"/>
                <w:u w:val="single"/>
              </w:rPr>
              <w:t xml:space="preserve">Gender </w:t>
            </w:r>
          </w:p>
          <w:p w14:paraId="453CCF75" w14:textId="77777777" w:rsidR="00472F96" w:rsidRPr="00472F96" w:rsidRDefault="00472F96" w:rsidP="00472F96">
            <w:pPr>
              <w:spacing w:line="240" w:lineRule="auto"/>
              <w:rPr>
                <w:sz w:val="22"/>
              </w:rPr>
            </w:pPr>
            <w:r w:rsidRPr="00472F96">
              <w:rPr>
                <w:sz w:val="22"/>
              </w:rPr>
              <w:t>Male</w:t>
            </w:r>
          </w:p>
        </w:tc>
        <w:tc>
          <w:tcPr>
            <w:tcW w:w="1335" w:type="dxa"/>
            <w:tcBorders>
              <w:top w:val="nil"/>
              <w:left w:val="nil"/>
              <w:bottom w:val="nil"/>
              <w:right w:val="nil"/>
            </w:tcBorders>
            <w:vAlign w:val="center"/>
          </w:tcPr>
          <w:p w14:paraId="48EFA6F3" w14:textId="77777777" w:rsidR="00472F96" w:rsidRPr="00472F96" w:rsidRDefault="00472F96" w:rsidP="00472F96">
            <w:pPr>
              <w:tabs>
                <w:tab w:val="decimal" w:pos="730"/>
              </w:tabs>
              <w:spacing w:line="240" w:lineRule="auto"/>
              <w:rPr>
                <w:sz w:val="22"/>
              </w:rPr>
            </w:pPr>
          </w:p>
          <w:p w14:paraId="2CE4A440" w14:textId="77777777" w:rsidR="00472F96" w:rsidRPr="00472F96" w:rsidRDefault="00472F96" w:rsidP="00472F96">
            <w:pPr>
              <w:tabs>
                <w:tab w:val="decimal" w:pos="730"/>
              </w:tabs>
              <w:spacing w:line="240" w:lineRule="auto"/>
              <w:rPr>
                <w:sz w:val="22"/>
              </w:rPr>
            </w:pPr>
          </w:p>
          <w:p w14:paraId="5A7DFB46" w14:textId="77777777" w:rsidR="00472F96" w:rsidRPr="00472F96" w:rsidRDefault="00472F96" w:rsidP="00472F96">
            <w:pPr>
              <w:tabs>
                <w:tab w:val="decimal" w:pos="730"/>
              </w:tabs>
              <w:spacing w:line="240" w:lineRule="auto"/>
              <w:rPr>
                <w:sz w:val="22"/>
              </w:rPr>
            </w:pPr>
            <w:r w:rsidRPr="00472F96">
              <w:rPr>
                <w:sz w:val="22"/>
              </w:rPr>
              <w:t>351</w:t>
            </w:r>
          </w:p>
        </w:tc>
        <w:tc>
          <w:tcPr>
            <w:tcW w:w="1335" w:type="dxa"/>
            <w:tcBorders>
              <w:top w:val="nil"/>
              <w:left w:val="nil"/>
              <w:bottom w:val="nil"/>
              <w:right w:val="nil"/>
            </w:tcBorders>
            <w:vAlign w:val="center"/>
          </w:tcPr>
          <w:p w14:paraId="2E1D85F8" w14:textId="77777777" w:rsidR="00472F96" w:rsidRPr="00472F96" w:rsidRDefault="00472F96" w:rsidP="00EB3070">
            <w:pPr>
              <w:tabs>
                <w:tab w:val="decimal" w:pos="563"/>
              </w:tabs>
              <w:spacing w:line="240" w:lineRule="auto"/>
              <w:rPr>
                <w:sz w:val="22"/>
              </w:rPr>
            </w:pPr>
          </w:p>
          <w:p w14:paraId="3DA95742" w14:textId="77777777" w:rsidR="00472F96" w:rsidRPr="00472F96" w:rsidRDefault="00472F96" w:rsidP="00EB3070">
            <w:pPr>
              <w:tabs>
                <w:tab w:val="decimal" w:pos="563"/>
              </w:tabs>
              <w:spacing w:line="240" w:lineRule="auto"/>
              <w:rPr>
                <w:sz w:val="22"/>
              </w:rPr>
            </w:pPr>
          </w:p>
          <w:p w14:paraId="2485427D" w14:textId="60E84A87" w:rsidR="00472F96" w:rsidRPr="00472F96" w:rsidRDefault="00EB3070" w:rsidP="00EB3070">
            <w:pPr>
              <w:tabs>
                <w:tab w:val="decimal" w:pos="563"/>
              </w:tabs>
              <w:spacing w:line="240" w:lineRule="auto"/>
              <w:rPr>
                <w:sz w:val="22"/>
              </w:rPr>
            </w:pPr>
            <w:r>
              <w:rPr>
                <w:sz w:val="22"/>
              </w:rPr>
              <w:t>38.3</w:t>
            </w:r>
          </w:p>
        </w:tc>
        <w:tc>
          <w:tcPr>
            <w:tcW w:w="1336" w:type="dxa"/>
            <w:tcBorders>
              <w:top w:val="nil"/>
              <w:left w:val="nil"/>
              <w:bottom w:val="nil"/>
              <w:right w:val="nil"/>
            </w:tcBorders>
            <w:vAlign w:val="center"/>
          </w:tcPr>
          <w:p w14:paraId="27548223" w14:textId="77777777" w:rsidR="00472F96" w:rsidRPr="00472F96" w:rsidRDefault="00472F96" w:rsidP="00472F96">
            <w:pPr>
              <w:tabs>
                <w:tab w:val="decimal" w:pos="758"/>
              </w:tabs>
              <w:spacing w:line="240" w:lineRule="auto"/>
              <w:rPr>
                <w:sz w:val="22"/>
              </w:rPr>
            </w:pPr>
          </w:p>
          <w:p w14:paraId="7011528D" w14:textId="77777777" w:rsidR="00472F96" w:rsidRPr="00472F96" w:rsidRDefault="00472F96" w:rsidP="00472F96">
            <w:pPr>
              <w:tabs>
                <w:tab w:val="decimal" w:pos="758"/>
              </w:tabs>
              <w:spacing w:line="240" w:lineRule="auto"/>
              <w:rPr>
                <w:sz w:val="22"/>
              </w:rPr>
            </w:pPr>
          </w:p>
          <w:p w14:paraId="6398E342" w14:textId="77777777" w:rsidR="00472F96" w:rsidRPr="00472F96" w:rsidRDefault="00472F96" w:rsidP="00472F96">
            <w:pPr>
              <w:tabs>
                <w:tab w:val="decimal" w:pos="758"/>
              </w:tabs>
              <w:spacing w:line="240" w:lineRule="auto"/>
              <w:rPr>
                <w:sz w:val="22"/>
              </w:rPr>
            </w:pPr>
            <w:r w:rsidRPr="00472F96">
              <w:rPr>
                <w:sz w:val="22"/>
              </w:rPr>
              <w:t>506</w:t>
            </w:r>
          </w:p>
        </w:tc>
        <w:tc>
          <w:tcPr>
            <w:tcW w:w="1336" w:type="dxa"/>
            <w:tcBorders>
              <w:top w:val="nil"/>
              <w:left w:val="nil"/>
              <w:bottom w:val="nil"/>
              <w:right w:val="nil"/>
            </w:tcBorders>
            <w:vAlign w:val="center"/>
          </w:tcPr>
          <w:p w14:paraId="7B533483" w14:textId="77777777" w:rsidR="00472F96" w:rsidRPr="00472F96" w:rsidRDefault="00472F96" w:rsidP="00EB3070">
            <w:pPr>
              <w:tabs>
                <w:tab w:val="decimal" w:pos="595"/>
              </w:tabs>
              <w:spacing w:line="240" w:lineRule="auto"/>
              <w:rPr>
                <w:sz w:val="22"/>
              </w:rPr>
            </w:pPr>
          </w:p>
          <w:p w14:paraId="4212881D" w14:textId="77777777" w:rsidR="00472F96" w:rsidRPr="00472F96" w:rsidRDefault="00472F96" w:rsidP="00EB3070">
            <w:pPr>
              <w:tabs>
                <w:tab w:val="decimal" w:pos="595"/>
              </w:tabs>
              <w:spacing w:line="240" w:lineRule="auto"/>
              <w:rPr>
                <w:sz w:val="22"/>
              </w:rPr>
            </w:pPr>
          </w:p>
          <w:p w14:paraId="5BFCAA8F" w14:textId="57B1E0CE" w:rsidR="00472F96" w:rsidRPr="00472F96" w:rsidRDefault="00EB3070" w:rsidP="00EB3070">
            <w:pPr>
              <w:tabs>
                <w:tab w:val="decimal" w:pos="595"/>
              </w:tabs>
              <w:spacing w:line="240" w:lineRule="auto"/>
              <w:rPr>
                <w:sz w:val="22"/>
              </w:rPr>
            </w:pPr>
            <w:r>
              <w:rPr>
                <w:sz w:val="22"/>
              </w:rPr>
              <w:t>43.5</w:t>
            </w:r>
          </w:p>
        </w:tc>
        <w:tc>
          <w:tcPr>
            <w:tcW w:w="1336" w:type="dxa"/>
            <w:tcBorders>
              <w:top w:val="nil"/>
              <w:left w:val="nil"/>
              <w:bottom w:val="nil"/>
              <w:right w:val="nil"/>
            </w:tcBorders>
            <w:vAlign w:val="center"/>
          </w:tcPr>
          <w:p w14:paraId="07280A9E" w14:textId="77777777" w:rsidR="00472F96" w:rsidRPr="00472F96" w:rsidRDefault="00472F96" w:rsidP="00472F96">
            <w:pPr>
              <w:tabs>
                <w:tab w:val="decimal" w:pos="876"/>
              </w:tabs>
              <w:spacing w:line="240" w:lineRule="auto"/>
              <w:rPr>
                <w:sz w:val="22"/>
              </w:rPr>
            </w:pPr>
          </w:p>
          <w:p w14:paraId="262BFAA2" w14:textId="77777777" w:rsidR="00472F96" w:rsidRPr="00472F96" w:rsidRDefault="00472F96" w:rsidP="00472F96">
            <w:pPr>
              <w:tabs>
                <w:tab w:val="decimal" w:pos="876"/>
              </w:tabs>
              <w:spacing w:line="240" w:lineRule="auto"/>
              <w:rPr>
                <w:sz w:val="22"/>
              </w:rPr>
            </w:pPr>
          </w:p>
          <w:p w14:paraId="003AEB47" w14:textId="77777777" w:rsidR="00472F96" w:rsidRPr="00472F96" w:rsidRDefault="00472F96" w:rsidP="00472F96">
            <w:pPr>
              <w:tabs>
                <w:tab w:val="decimal" w:pos="876"/>
              </w:tabs>
              <w:spacing w:line="240" w:lineRule="auto"/>
              <w:rPr>
                <w:sz w:val="22"/>
              </w:rPr>
            </w:pPr>
            <w:r w:rsidRPr="00472F96">
              <w:rPr>
                <w:sz w:val="22"/>
              </w:rPr>
              <w:t>857</w:t>
            </w:r>
          </w:p>
        </w:tc>
      </w:tr>
      <w:tr w:rsidR="00472F96" w:rsidRPr="00472F96" w14:paraId="091E355E" w14:textId="77777777" w:rsidTr="00EC2CFC">
        <w:tc>
          <w:tcPr>
            <w:tcW w:w="2672" w:type="dxa"/>
            <w:tcBorders>
              <w:top w:val="nil"/>
              <w:left w:val="nil"/>
              <w:bottom w:val="nil"/>
              <w:right w:val="nil"/>
            </w:tcBorders>
            <w:vAlign w:val="center"/>
          </w:tcPr>
          <w:p w14:paraId="6B1DD3AC" w14:textId="77777777" w:rsidR="00472F96" w:rsidRPr="00472F96" w:rsidRDefault="00472F96" w:rsidP="00472F96">
            <w:pPr>
              <w:spacing w:line="240" w:lineRule="auto"/>
              <w:rPr>
                <w:sz w:val="22"/>
              </w:rPr>
            </w:pPr>
            <w:r w:rsidRPr="00472F96">
              <w:rPr>
                <w:sz w:val="22"/>
              </w:rPr>
              <w:t>Female</w:t>
            </w:r>
          </w:p>
        </w:tc>
        <w:tc>
          <w:tcPr>
            <w:tcW w:w="1335" w:type="dxa"/>
            <w:tcBorders>
              <w:top w:val="nil"/>
              <w:left w:val="nil"/>
              <w:bottom w:val="nil"/>
              <w:right w:val="nil"/>
            </w:tcBorders>
            <w:vAlign w:val="center"/>
          </w:tcPr>
          <w:p w14:paraId="724E4B5E" w14:textId="77777777" w:rsidR="00472F96" w:rsidRPr="00472F96" w:rsidRDefault="00472F96" w:rsidP="00472F96">
            <w:pPr>
              <w:tabs>
                <w:tab w:val="decimal" w:pos="730"/>
              </w:tabs>
              <w:spacing w:line="240" w:lineRule="auto"/>
              <w:rPr>
                <w:sz w:val="22"/>
              </w:rPr>
            </w:pPr>
            <w:r w:rsidRPr="00472F96">
              <w:rPr>
                <w:sz w:val="22"/>
              </w:rPr>
              <w:t>565</w:t>
            </w:r>
          </w:p>
        </w:tc>
        <w:tc>
          <w:tcPr>
            <w:tcW w:w="1335" w:type="dxa"/>
            <w:tcBorders>
              <w:top w:val="nil"/>
              <w:left w:val="nil"/>
              <w:bottom w:val="nil"/>
              <w:right w:val="nil"/>
            </w:tcBorders>
            <w:vAlign w:val="center"/>
          </w:tcPr>
          <w:p w14:paraId="40AE45EA" w14:textId="6C4CD34E" w:rsidR="00472F96" w:rsidRPr="00472F96" w:rsidRDefault="00EB3070" w:rsidP="00EB3070">
            <w:pPr>
              <w:tabs>
                <w:tab w:val="decimal" w:pos="563"/>
              </w:tabs>
              <w:spacing w:line="240" w:lineRule="auto"/>
              <w:rPr>
                <w:sz w:val="22"/>
              </w:rPr>
            </w:pPr>
            <w:r>
              <w:rPr>
                <w:sz w:val="22"/>
              </w:rPr>
              <w:t>61.7</w:t>
            </w:r>
          </w:p>
        </w:tc>
        <w:tc>
          <w:tcPr>
            <w:tcW w:w="1336" w:type="dxa"/>
            <w:tcBorders>
              <w:top w:val="nil"/>
              <w:left w:val="nil"/>
              <w:bottom w:val="nil"/>
              <w:right w:val="nil"/>
            </w:tcBorders>
            <w:vAlign w:val="center"/>
          </w:tcPr>
          <w:p w14:paraId="78BD0A14" w14:textId="77777777" w:rsidR="00472F96" w:rsidRPr="00472F96" w:rsidRDefault="00472F96" w:rsidP="00472F96">
            <w:pPr>
              <w:tabs>
                <w:tab w:val="decimal" w:pos="758"/>
              </w:tabs>
              <w:spacing w:line="240" w:lineRule="auto"/>
              <w:rPr>
                <w:sz w:val="22"/>
              </w:rPr>
            </w:pPr>
            <w:r w:rsidRPr="00472F96">
              <w:rPr>
                <w:sz w:val="22"/>
              </w:rPr>
              <w:t>656</w:t>
            </w:r>
          </w:p>
        </w:tc>
        <w:tc>
          <w:tcPr>
            <w:tcW w:w="1336" w:type="dxa"/>
            <w:tcBorders>
              <w:top w:val="nil"/>
              <w:left w:val="nil"/>
              <w:bottom w:val="nil"/>
              <w:right w:val="nil"/>
            </w:tcBorders>
            <w:vAlign w:val="center"/>
          </w:tcPr>
          <w:p w14:paraId="0738ACF0" w14:textId="14D5D563" w:rsidR="00472F96" w:rsidRPr="00472F96" w:rsidRDefault="00EB3070" w:rsidP="00EB3070">
            <w:pPr>
              <w:tabs>
                <w:tab w:val="decimal" w:pos="595"/>
              </w:tabs>
              <w:spacing w:line="240" w:lineRule="auto"/>
              <w:rPr>
                <w:sz w:val="22"/>
              </w:rPr>
            </w:pPr>
            <w:r>
              <w:rPr>
                <w:sz w:val="22"/>
              </w:rPr>
              <w:t>56.5</w:t>
            </w:r>
          </w:p>
        </w:tc>
        <w:tc>
          <w:tcPr>
            <w:tcW w:w="1336" w:type="dxa"/>
            <w:tcBorders>
              <w:top w:val="nil"/>
              <w:left w:val="nil"/>
              <w:bottom w:val="nil"/>
              <w:right w:val="nil"/>
            </w:tcBorders>
            <w:vAlign w:val="center"/>
          </w:tcPr>
          <w:p w14:paraId="244F167B" w14:textId="77777777" w:rsidR="00472F96" w:rsidRPr="00472F96" w:rsidRDefault="00472F96" w:rsidP="00472F96">
            <w:pPr>
              <w:tabs>
                <w:tab w:val="decimal" w:pos="876"/>
              </w:tabs>
              <w:spacing w:line="240" w:lineRule="auto"/>
              <w:rPr>
                <w:sz w:val="22"/>
              </w:rPr>
            </w:pPr>
            <w:r w:rsidRPr="00472F96">
              <w:rPr>
                <w:sz w:val="22"/>
              </w:rPr>
              <w:t>1,221</w:t>
            </w:r>
          </w:p>
        </w:tc>
      </w:tr>
      <w:tr w:rsidR="00472F96" w:rsidRPr="00472F96" w14:paraId="039B78A0" w14:textId="77777777" w:rsidTr="00EC2CFC">
        <w:tc>
          <w:tcPr>
            <w:tcW w:w="2672" w:type="dxa"/>
            <w:tcBorders>
              <w:top w:val="nil"/>
              <w:left w:val="nil"/>
              <w:bottom w:val="nil"/>
              <w:right w:val="nil"/>
            </w:tcBorders>
            <w:vAlign w:val="center"/>
          </w:tcPr>
          <w:p w14:paraId="66F211F7" w14:textId="77777777" w:rsidR="00472F96" w:rsidRPr="00472F96" w:rsidRDefault="00472F96" w:rsidP="00472F96">
            <w:pPr>
              <w:spacing w:line="240" w:lineRule="auto"/>
              <w:rPr>
                <w:sz w:val="22"/>
                <w:u w:val="single"/>
              </w:rPr>
            </w:pPr>
          </w:p>
          <w:p w14:paraId="6FA8211F" w14:textId="77777777" w:rsidR="00472F96" w:rsidRPr="00472F96" w:rsidRDefault="00472F96" w:rsidP="00472F96">
            <w:pPr>
              <w:spacing w:line="240" w:lineRule="auto"/>
              <w:rPr>
                <w:sz w:val="22"/>
                <w:u w:val="single"/>
              </w:rPr>
            </w:pPr>
            <w:r w:rsidRPr="00472F96">
              <w:rPr>
                <w:sz w:val="22"/>
                <w:u w:val="single"/>
              </w:rPr>
              <w:t>Ethnicity</w:t>
            </w:r>
          </w:p>
          <w:p w14:paraId="200B8DC9" w14:textId="77777777" w:rsidR="00472F96" w:rsidRPr="00472F96" w:rsidRDefault="00472F96" w:rsidP="00472F96">
            <w:pPr>
              <w:spacing w:line="240" w:lineRule="auto"/>
              <w:rPr>
                <w:sz w:val="22"/>
              </w:rPr>
            </w:pPr>
            <w:r w:rsidRPr="00472F96">
              <w:rPr>
                <w:sz w:val="22"/>
              </w:rPr>
              <w:t>White</w:t>
            </w:r>
          </w:p>
        </w:tc>
        <w:tc>
          <w:tcPr>
            <w:tcW w:w="1335" w:type="dxa"/>
            <w:tcBorders>
              <w:top w:val="nil"/>
              <w:left w:val="nil"/>
              <w:bottom w:val="nil"/>
              <w:right w:val="nil"/>
            </w:tcBorders>
            <w:vAlign w:val="center"/>
          </w:tcPr>
          <w:p w14:paraId="764B24AB" w14:textId="77777777" w:rsidR="00472F96" w:rsidRPr="00472F96" w:rsidRDefault="00472F96" w:rsidP="00472F96">
            <w:pPr>
              <w:tabs>
                <w:tab w:val="decimal" w:pos="730"/>
              </w:tabs>
              <w:spacing w:line="240" w:lineRule="auto"/>
              <w:rPr>
                <w:sz w:val="22"/>
              </w:rPr>
            </w:pPr>
          </w:p>
          <w:p w14:paraId="3BCAAD5B" w14:textId="77777777" w:rsidR="00472F96" w:rsidRPr="00472F96" w:rsidRDefault="00472F96" w:rsidP="00472F96">
            <w:pPr>
              <w:tabs>
                <w:tab w:val="decimal" w:pos="730"/>
              </w:tabs>
              <w:spacing w:line="240" w:lineRule="auto"/>
              <w:rPr>
                <w:sz w:val="22"/>
              </w:rPr>
            </w:pPr>
          </w:p>
          <w:p w14:paraId="69695200" w14:textId="77777777" w:rsidR="00472F96" w:rsidRPr="00472F96" w:rsidRDefault="00472F96" w:rsidP="00472F96">
            <w:pPr>
              <w:tabs>
                <w:tab w:val="decimal" w:pos="730"/>
              </w:tabs>
              <w:spacing w:line="240" w:lineRule="auto"/>
              <w:rPr>
                <w:sz w:val="22"/>
              </w:rPr>
            </w:pPr>
            <w:r w:rsidRPr="00472F96">
              <w:rPr>
                <w:sz w:val="22"/>
              </w:rPr>
              <w:t>856</w:t>
            </w:r>
          </w:p>
        </w:tc>
        <w:tc>
          <w:tcPr>
            <w:tcW w:w="1335" w:type="dxa"/>
            <w:tcBorders>
              <w:top w:val="nil"/>
              <w:left w:val="nil"/>
              <w:bottom w:val="nil"/>
              <w:right w:val="nil"/>
            </w:tcBorders>
            <w:vAlign w:val="center"/>
          </w:tcPr>
          <w:p w14:paraId="087BB0F5" w14:textId="77777777" w:rsidR="00472F96" w:rsidRPr="00472F96" w:rsidRDefault="00472F96" w:rsidP="00EB3070">
            <w:pPr>
              <w:tabs>
                <w:tab w:val="decimal" w:pos="563"/>
              </w:tabs>
              <w:spacing w:line="240" w:lineRule="auto"/>
              <w:rPr>
                <w:sz w:val="22"/>
              </w:rPr>
            </w:pPr>
          </w:p>
          <w:p w14:paraId="0C404A26" w14:textId="77777777" w:rsidR="00472F96" w:rsidRPr="00472F96" w:rsidRDefault="00472F96" w:rsidP="00EB3070">
            <w:pPr>
              <w:tabs>
                <w:tab w:val="decimal" w:pos="563"/>
              </w:tabs>
              <w:spacing w:line="240" w:lineRule="auto"/>
              <w:rPr>
                <w:sz w:val="22"/>
              </w:rPr>
            </w:pPr>
          </w:p>
          <w:p w14:paraId="19694E8D" w14:textId="790EEE1E" w:rsidR="00472F96" w:rsidRPr="00472F96" w:rsidRDefault="00EB3070" w:rsidP="00EB3070">
            <w:pPr>
              <w:tabs>
                <w:tab w:val="decimal" w:pos="563"/>
              </w:tabs>
              <w:spacing w:line="240" w:lineRule="auto"/>
              <w:rPr>
                <w:sz w:val="22"/>
              </w:rPr>
            </w:pPr>
            <w:r>
              <w:rPr>
                <w:sz w:val="22"/>
              </w:rPr>
              <w:t>93.4</w:t>
            </w:r>
          </w:p>
        </w:tc>
        <w:tc>
          <w:tcPr>
            <w:tcW w:w="1336" w:type="dxa"/>
            <w:tcBorders>
              <w:top w:val="nil"/>
              <w:left w:val="nil"/>
              <w:bottom w:val="nil"/>
              <w:right w:val="nil"/>
            </w:tcBorders>
            <w:vAlign w:val="center"/>
          </w:tcPr>
          <w:p w14:paraId="77F73A48" w14:textId="77777777" w:rsidR="00472F96" w:rsidRPr="00472F96" w:rsidRDefault="00472F96" w:rsidP="00472F96">
            <w:pPr>
              <w:tabs>
                <w:tab w:val="decimal" w:pos="758"/>
              </w:tabs>
              <w:spacing w:line="240" w:lineRule="auto"/>
              <w:rPr>
                <w:sz w:val="22"/>
              </w:rPr>
            </w:pPr>
          </w:p>
          <w:p w14:paraId="6283CBCC" w14:textId="77777777" w:rsidR="00472F96" w:rsidRPr="00472F96" w:rsidRDefault="00472F96" w:rsidP="00472F96">
            <w:pPr>
              <w:tabs>
                <w:tab w:val="decimal" w:pos="758"/>
              </w:tabs>
              <w:spacing w:line="240" w:lineRule="auto"/>
              <w:rPr>
                <w:sz w:val="22"/>
              </w:rPr>
            </w:pPr>
          </w:p>
          <w:p w14:paraId="752E43D2" w14:textId="77777777" w:rsidR="00472F96" w:rsidRPr="00472F96" w:rsidRDefault="00472F96" w:rsidP="00472F96">
            <w:pPr>
              <w:tabs>
                <w:tab w:val="decimal" w:pos="758"/>
              </w:tabs>
              <w:spacing w:line="240" w:lineRule="auto"/>
              <w:rPr>
                <w:sz w:val="22"/>
              </w:rPr>
            </w:pPr>
            <w:r w:rsidRPr="00472F96">
              <w:rPr>
                <w:sz w:val="22"/>
              </w:rPr>
              <w:t>1,034</w:t>
            </w:r>
          </w:p>
        </w:tc>
        <w:tc>
          <w:tcPr>
            <w:tcW w:w="1336" w:type="dxa"/>
            <w:tcBorders>
              <w:top w:val="nil"/>
              <w:left w:val="nil"/>
              <w:bottom w:val="nil"/>
              <w:right w:val="nil"/>
            </w:tcBorders>
            <w:vAlign w:val="center"/>
          </w:tcPr>
          <w:p w14:paraId="0AECD304" w14:textId="77777777" w:rsidR="00472F96" w:rsidRPr="00472F96" w:rsidRDefault="00472F96" w:rsidP="00EB3070">
            <w:pPr>
              <w:tabs>
                <w:tab w:val="decimal" w:pos="595"/>
              </w:tabs>
              <w:spacing w:line="240" w:lineRule="auto"/>
              <w:rPr>
                <w:sz w:val="22"/>
              </w:rPr>
            </w:pPr>
          </w:p>
          <w:p w14:paraId="3A680084" w14:textId="77777777" w:rsidR="00472F96" w:rsidRPr="00472F96" w:rsidRDefault="00472F96" w:rsidP="00EB3070">
            <w:pPr>
              <w:tabs>
                <w:tab w:val="decimal" w:pos="595"/>
              </w:tabs>
              <w:spacing w:line="240" w:lineRule="auto"/>
              <w:rPr>
                <w:sz w:val="22"/>
              </w:rPr>
            </w:pPr>
          </w:p>
          <w:p w14:paraId="42E8AD68" w14:textId="44F2BA4B" w:rsidR="00472F96" w:rsidRPr="00472F96" w:rsidRDefault="00EB3070" w:rsidP="00EB3070">
            <w:pPr>
              <w:tabs>
                <w:tab w:val="decimal" w:pos="595"/>
              </w:tabs>
              <w:spacing w:line="240" w:lineRule="auto"/>
              <w:rPr>
                <w:sz w:val="22"/>
              </w:rPr>
            </w:pPr>
            <w:r>
              <w:rPr>
                <w:sz w:val="22"/>
              </w:rPr>
              <w:t>89.0</w:t>
            </w:r>
          </w:p>
        </w:tc>
        <w:tc>
          <w:tcPr>
            <w:tcW w:w="1336" w:type="dxa"/>
            <w:tcBorders>
              <w:top w:val="nil"/>
              <w:left w:val="nil"/>
              <w:bottom w:val="nil"/>
              <w:right w:val="nil"/>
            </w:tcBorders>
            <w:vAlign w:val="center"/>
          </w:tcPr>
          <w:p w14:paraId="7351465F" w14:textId="77777777" w:rsidR="00472F96" w:rsidRPr="00472F96" w:rsidRDefault="00472F96" w:rsidP="00472F96">
            <w:pPr>
              <w:tabs>
                <w:tab w:val="decimal" w:pos="876"/>
              </w:tabs>
              <w:spacing w:line="240" w:lineRule="auto"/>
              <w:rPr>
                <w:sz w:val="22"/>
              </w:rPr>
            </w:pPr>
          </w:p>
          <w:p w14:paraId="10059151" w14:textId="77777777" w:rsidR="00472F96" w:rsidRPr="00472F96" w:rsidRDefault="00472F96" w:rsidP="00472F96">
            <w:pPr>
              <w:tabs>
                <w:tab w:val="decimal" w:pos="876"/>
              </w:tabs>
              <w:spacing w:line="240" w:lineRule="auto"/>
              <w:rPr>
                <w:sz w:val="22"/>
              </w:rPr>
            </w:pPr>
          </w:p>
          <w:p w14:paraId="40A48BFE" w14:textId="77777777" w:rsidR="00472F96" w:rsidRPr="00472F96" w:rsidRDefault="00472F96" w:rsidP="00472F96">
            <w:pPr>
              <w:tabs>
                <w:tab w:val="decimal" w:pos="876"/>
              </w:tabs>
              <w:spacing w:line="240" w:lineRule="auto"/>
              <w:rPr>
                <w:sz w:val="22"/>
              </w:rPr>
            </w:pPr>
            <w:r w:rsidRPr="00472F96">
              <w:rPr>
                <w:sz w:val="22"/>
              </w:rPr>
              <w:t>1,890</w:t>
            </w:r>
          </w:p>
        </w:tc>
      </w:tr>
      <w:tr w:rsidR="00472F96" w:rsidRPr="00472F96" w14:paraId="5CD966A6" w14:textId="77777777" w:rsidTr="00EC2CFC">
        <w:tc>
          <w:tcPr>
            <w:tcW w:w="2672" w:type="dxa"/>
            <w:tcBorders>
              <w:top w:val="nil"/>
              <w:left w:val="nil"/>
              <w:bottom w:val="nil"/>
              <w:right w:val="nil"/>
            </w:tcBorders>
            <w:vAlign w:val="center"/>
          </w:tcPr>
          <w:p w14:paraId="7E6F546F" w14:textId="77777777" w:rsidR="00472F96" w:rsidRPr="00472F96" w:rsidRDefault="00472F96" w:rsidP="00472F96">
            <w:pPr>
              <w:spacing w:line="240" w:lineRule="auto"/>
              <w:rPr>
                <w:sz w:val="22"/>
              </w:rPr>
            </w:pPr>
            <w:r w:rsidRPr="00472F96">
              <w:rPr>
                <w:sz w:val="22"/>
              </w:rPr>
              <w:t>Hispanic/Latino</w:t>
            </w:r>
          </w:p>
        </w:tc>
        <w:tc>
          <w:tcPr>
            <w:tcW w:w="1335" w:type="dxa"/>
            <w:tcBorders>
              <w:top w:val="nil"/>
              <w:left w:val="nil"/>
              <w:bottom w:val="nil"/>
              <w:right w:val="nil"/>
            </w:tcBorders>
            <w:vAlign w:val="center"/>
          </w:tcPr>
          <w:p w14:paraId="10071D04" w14:textId="77777777" w:rsidR="00472F96" w:rsidRPr="00472F96" w:rsidRDefault="00472F96" w:rsidP="00472F96">
            <w:pPr>
              <w:tabs>
                <w:tab w:val="decimal" w:pos="730"/>
              </w:tabs>
              <w:spacing w:line="240" w:lineRule="auto"/>
              <w:rPr>
                <w:sz w:val="22"/>
              </w:rPr>
            </w:pPr>
            <w:r w:rsidRPr="00472F96">
              <w:rPr>
                <w:sz w:val="22"/>
              </w:rPr>
              <w:t>29</w:t>
            </w:r>
          </w:p>
        </w:tc>
        <w:tc>
          <w:tcPr>
            <w:tcW w:w="1335" w:type="dxa"/>
            <w:tcBorders>
              <w:top w:val="nil"/>
              <w:left w:val="nil"/>
              <w:bottom w:val="nil"/>
              <w:right w:val="nil"/>
            </w:tcBorders>
            <w:vAlign w:val="center"/>
          </w:tcPr>
          <w:p w14:paraId="7BF0CB23" w14:textId="40187DEC" w:rsidR="00472F96" w:rsidRPr="00472F96" w:rsidRDefault="00EB3070" w:rsidP="00EB3070">
            <w:pPr>
              <w:tabs>
                <w:tab w:val="decimal" w:pos="563"/>
              </w:tabs>
              <w:spacing w:line="240" w:lineRule="auto"/>
              <w:rPr>
                <w:sz w:val="22"/>
              </w:rPr>
            </w:pPr>
            <w:r>
              <w:rPr>
                <w:sz w:val="22"/>
              </w:rPr>
              <w:t>3.2</w:t>
            </w:r>
          </w:p>
        </w:tc>
        <w:tc>
          <w:tcPr>
            <w:tcW w:w="1336" w:type="dxa"/>
            <w:tcBorders>
              <w:top w:val="nil"/>
              <w:left w:val="nil"/>
              <w:bottom w:val="nil"/>
              <w:right w:val="nil"/>
            </w:tcBorders>
            <w:vAlign w:val="center"/>
          </w:tcPr>
          <w:p w14:paraId="5FADEFC1" w14:textId="77777777" w:rsidR="00472F96" w:rsidRPr="00472F96" w:rsidRDefault="00472F96" w:rsidP="00472F96">
            <w:pPr>
              <w:tabs>
                <w:tab w:val="decimal" w:pos="758"/>
              </w:tabs>
              <w:spacing w:line="240" w:lineRule="auto"/>
              <w:rPr>
                <w:sz w:val="22"/>
              </w:rPr>
            </w:pPr>
            <w:r w:rsidRPr="00472F96">
              <w:rPr>
                <w:sz w:val="22"/>
              </w:rPr>
              <w:t>47</w:t>
            </w:r>
          </w:p>
        </w:tc>
        <w:tc>
          <w:tcPr>
            <w:tcW w:w="1336" w:type="dxa"/>
            <w:tcBorders>
              <w:top w:val="nil"/>
              <w:left w:val="nil"/>
              <w:bottom w:val="nil"/>
              <w:right w:val="nil"/>
            </w:tcBorders>
            <w:vAlign w:val="center"/>
          </w:tcPr>
          <w:p w14:paraId="2ED3AAA3" w14:textId="2190C922" w:rsidR="00472F96" w:rsidRPr="00472F96" w:rsidRDefault="00EB3070" w:rsidP="00EB3070">
            <w:pPr>
              <w:tabs>
                <w:tab w:val="decimal" w:pos="595"/>
              </w:tabs>
              <w:spacing w:line="240" w:lineRule="auto"/>
              <w:rPr>
                <w:sz w:val="22"/>
              </w:rPr>
            </w:pPr>
            <w:r>
              <w:rPr>
                <w:sz w:val="22"/>
              </w:rPr>
              <w:t>4.0</w:t>
            </w:r>
          </w:p>
        </w:tc>
        <w:tc>
          <w:tcPr>
            <w:tcW w:w="1336" w:type="dxa"/>
            <w:tcBorders>
              <w:top w:val="nil"/>
              <w:left w:val="nil"/>
              <w:bottom w:val="nil"/>
              <w:right w:val="nil"/>
            </w:tcBorders>
            <w:vAlign w:val="center"/>
          </w:tcPr>
          <w:p w14:paraId="0945FBCC" w14:textId="77777777" w:rsidR="00472F96" w:rsidRPr="00472F96" w:rsidRDefault="00472F96" w:rsidP="00472F96">
            <w:pPr>
              <w:tabs>
                <w:tab w:val="decimal" w:pos="876"/>
              </w:tabs>
              <w:spacing w:line="240" w:lineRule="auto"/>
              <w:rPr>
                <w:sz w:val="22"/>
              </w:rPr>
            </w:pPr>
            <w:r w:rsidRPr="00472F96">
              <w:rPr>
                <w:sz w:val="22"/>
              </w:rPr>
              <w:t>76</w:t>
            </w:r>
          </w:p>
        </w:tc>
      </w:tr>
      <w:tr w:rsidR="00472F96" w:rsidRPr="00472F96" w14:paraId="5A5D6403" w14:textId="77777777" w:rsidTr="00EC2CFC">
        <w:tc>
          <w:tcPr>
            <w:tcW w:w="2672" w:type="dxa"/>
            <w:tcBorders>
              <w:top w:val="nil"/>
              <w:left w:val="nil"/>
              <w:bottom w:val="nil"/>
              <w:right w:val="nil"/>
            </w:tcBorders>
            <w:vAlign w:val="center"/>
          </w:tcPr>
          <w:p w14:paraId="1B43C839" w14:textId="77777777" w:rsidR="00472F96" w:rsidRPr="00472F96" w:rsidRDefault="00472F96" w:rsidP="00472F96">
            <w:pPr>
              <w:spacing w:line="240" w:lineRule="auto"/>
              <w:rPr>
                <w:sz w:val="22"/>
              </w:rPr>
            </w:pPr>
            <w:r w:rsidRPr="00472F96">
              <w:rPr>
                <w:sz w:val="22"/>
              </w:rPr>
              <w:t>Black</w:t>
            </w:r>
          </w:p>
        </w:tc>
        <w:tc>
          <w:tcPr>
            <w:tcW w:w="1335" w:type="dxa"/>
            <w:tcBorders>
              <w:top w:val="nil"/>
              <w:left w:val="nil"/>
              <w:bottom w:val="nil"/>
              <w:right w:val="nil"/>
            </w:tcBorders>
            <w:vAlign w:val="center"/>
          </w:tcPr>
          <w:p w14:paraId="1264E4FD" w14:textId="77777777" w:rsidR="00472F96" w:rsidRPr="00472F96" w:rsidRDefault="00472F96" w:rsidP="00472F96">
            <w:pPr>
              <w:tabs>
                <w:tab w:val="decimal" w:pos="730"/>
              </w:tabs>
              <w:spacing w:line="240" w:lineRule="auto"/>
              <w:rPr>
                <w:sz w:val="22"/>
              </w:rPr>
            </w:pPr>
            <w:r w:rsidRPr="00472F96">
              <w:rPr>
                <w:sz w:val="22"/>
              </w:rPr>
              <w:t>1</w:t>
            </w:r>
          </w:p>
        </w:tc>
        <w:tc>
          <w:tcPr>
            <w:tcW w:w="1335" w:type="dxa"/>
            <w:tcBorders>
              <w:top w:val="nil"/>
              <w:left w:val="nil"/>
              <w:bottom w:val="nil"/>
              <w:right w:val="nil"/>
            </w:tcBorders>
            <w:vAlign w:val="center"/>
          </w:tcPr>
          <w:p w14:paraId="43B16CD1" w14:textId="70FFC90D" w:rsidR="00472F96" w:rsidRPr="00472F96" w:rsidRDefault="00EB3070" w:rsidP="00EB3070">
            <w:pPr>
              <w:tabs>
                <w:tab w:val="decimal" w:pos="563"/>
              </w:tabs>
              <w:spacing w:line="240" w:lineRule="auto"/>
              <w:rPr>
                <w:sz w:val="22"/>
              </w:rPr>
            </w:pPr>
            <w:r>
              <w:rPr>
                <w:sz w:val="22"/>
              </w:rPr>
              <w:t>.1</w:t>
            </w:r>
          </w:p>
        </w:tc>
        <w:tc>
          <w:tcPr>
            <w:tcW w:w="1336" w:type="dxa"/>
            <w:tcBorders>
              <w:top w:val="nil"/>
              <w:left w:val="nil"/>
              <w:bottom w:val="nil"/>
              <w:right w:val="nil"/>
            </w:tcBorders>
            <w:vAlign w:val="center"/>
          </w:tcPr>
          <w:p w14:paraId="08A85C87" w14:textId="77777777" w:rsidR="00472F96" w:rsidRPr="00472F96" w:rsidRDefault="00472F96" w:rsidP="00472F96">
            <w:pPr>
              <w:tabs>
                <w:tab w:val="decimal" w:pos="758"/>
              </w:tabs>
              <w:spacing w:line="240" w:lineRule="auto"/>
              <w:rPr>
                <w:sz w:val="22"/>
              </w:rPr>
            </w:pPr>
            <w:r w:rsidRPr="00472F96">
              <w:rPr>
                <w:sz w:val="22"/>
              </w:rPr>
              <w:t>13</w:t>
            </w:r>
          </w:p>
        </w:tc>
        <w:tc>
          <w:tcPr>
            <w:tcW w:w="1336" w:type="dxa"/>
            <w:tcBorders>
              <w:top w:val="nil"/>
              <w:left w:val="nil"/>
              <w:bottom w:val="nil"/>
              <w:right w:val="nil"/>
            </w:tcBorders>
            <w:vAlign w:val="center"/>
          </w:tcPr>
          <w:p w14:paraId="3DF26F46" w14:textId="5B6C950C" w:rsidR="00472F96" w:rsidRPr="00472F96" w:rsidRDefault="00EB3070" w:rsidP="00EB3070">
            <w:pPr>
              <w:tabs>
                <w:tab w:val="decimal" w:pos="595"/>
              </w:tabs>
              <w:spacing w:line="240" w:lineRule="auto"/>
              <w:rPr>
                <w:sz w:val="22"/>
              </w:rPr>
            </w:pPr>
            <w:r>
              <w:rPr>
                <w:sz w:val="22"/>
              </w:rPr>
              <w:t>1.1</w:t>
            </w:r>
          </w:p>
        </w:tc>
        <w:tc>
          <w:tcPr>
            <w:tcW w:w="1336" w:type="dxa"/>
            <w:tcBorders>
              <w:top w:val="nil"/>
              <w:left w:val="nil"/>
              <w:bottom w:val="nil"/>
              <w:right w:val="nil"/>
            </w:tcBorders>
            <w:vAlign w:val="center"/>
          </w:tcPr>
          <w:p w14:paraId="18A3AE2B" w14:textId="77777777" w:rsidR="00472F96" w:rsidRPr="00472F96" w:rsidRDefault="00472F96" w:rsidP="00472F96">
            <w:pPr>
              <w:tabs>
                <w:tab w:val="decimal" w:pos="876"/>
              </w:tabs>
              <w:spacing w:line="240" w:lineRule="auto"/>
              <w:rPr>
                <w:sz w:val="22"/>
              </w:rPr>
            </w:pPr>
            <w:r w:rsidRPr="00472F96">
              <w:rPr>
                <w:sz w:val="22"/>
              </w:rPr>
              <w:t>14</w:t>
            </w:r>
          </w:p>
        </w:tc>
      </w:tr>
      <w:tr w:rsidR="00472F96" w:rsidRPr="00472F96" w14:paraId="07CB0F84" w14:textId="77777777" w:rsidTr="00EC2CFC">
        <w:tc>
          <w:tcPr>
            <w:tcW w:w="2672" w:type="dxa"/>
            <w:tcBorders>
              <w:top w:val="nil"/>
              <w:left w:val="nil"/>
              <w:bottom w:val="nil"/>
              <w:right w:val="nil"/>
            </w:tcBorders>
            <w:vAlign w:val="center"/>
          </w:tcPr>
          <w:p w14:paraId="4BD2B05D" w14:textId="77777777" w:rsidR="00472F96" w:rsidRPr="00472F96" w:rsidRDefault="00472F96" w:rsidP="00472F96">
            <w:pPr>
              <w:spacing w:line="240" w:lineRule="auto"/>
              <w:rPr>
                <w:sz w:val="22"/>
              </w:rPr>
            </w:pPr>
            <w:r w:rsidRPr="00472F96">
              <w:rPr>
                <w:sz w:val="22"/>
              </w:rPr>
              <w:t>Other</w:t>
            </w:r>
          </w:p>
        </w:tc>
        <w:tc>
          <w:tcPr>
            <w:tcW w:w="1335" w:type="dxa"/>
            <w:tcBorders>
              <w:top w:val="nil"/>
              <w:left w:val="nil"/>
              <w:bottom w:val="nil"/>
              <w:right w:val="nil"/>
            </w:tcBorders>
            <w:vAlign w:val="center"/>
          </w:tcPr>
          <w:p w14:paraId="6CC4C17D" w14:textId="77777777" w:rsidR="00472F96" w:rsidRPr="00472F96" w:rsidRDefault="00472F96" w:rsidP="00472F96">
            <w:pPr>
              <w:tabs>
                <w:tab w:val="decimal" w:pos="730"/>
              </w:tabs>
              <w:spacing w:line="240" w:lineRule="auto"/>
              <w:rPr>
                <w:sz w:val="22"/>
              </w:rPr>
            </w:pPr>
            <w:r w:rsidRPr="00472F96">
              <w:rPr>
                <w:sz w:val="22"/>
              </w:rPr>
              <w:t>30</w:t>
            </w:r>
          </w:p>
        </w:tc>
        <w:tc>
          <w:tcPr>
            <w:tcW w:w="1335" w:type="dxa"/>
            <w:tcBorders>
              <w:top w:val="nil"/>
              <w:left w:val="nil"/>
              <w:bottom w:val="nil"/>
              <w:right w:val="nil"/>
            </w:tcBorders>
            <w:vAlign w:val="center"/>
          </w:tcPr>
          <w:p w14:paraId="533FD337" w14:textId="20294587" w:rsidR="00472F96" w:rsidRPr="00472F96" w:rsidRDefault="00EB3070" w:rsidP="00EB3070">
            <w:pPr>
              <w:tabs>
                <w:tab w:val="decimal" w:pos="563"/>
              </w:tabs>
              <w:spacing w:line="240" w:lineRule="auto"/>
              <w:rPr>
                <w:sz w:val="22"/>
              </w:rPr>
            </w:pPr>
            <w:r>
              <w:rPr>
                <w:sz w:val="22"/>
              </w:rPr>
              <w:t>3.3</w:t>
            </w:r>
          </w:p>
        </w:tc>
        <w:tc>
          <w:tcPr>
            <w:tcW w:w="1336" w:type="dxa"/>
            <w:tcBorders>
              <w:top w:val="nil"/>
              <w:left w:val="nil"/>
              <w:bottom w:val="nil"/>
              <w:right w:val="nil"/>
            </w:tcBorders>
            <w:vAlign w:val="center"/>
          </w:tcPr>
          <w:p w14:paraId="5296DA18" w14:textId="77777777" w:rsidR="00472F96" w:rsidRPr="00472F96" w:rsidRDefault="00472F96" w:rsidP="00472F96">
            <w:pPr>
              <w:tabs>
                <w:tab w:val="decimal" w:pos="758"/>
              </w:tabs>
              <w:spacing w:line="240" w:lineRule="auto"/>
              <w:rPr>
                <w:sz w:val="22"/>
              </w:rPr>
            </w:pPr>
            <w:r w:rsidRPr="00472F96">
              <w:rPr>
                <w:sz w:val="22"/>
              </w:rPr>
              <w:t>68</w:t>
            </w:r>
          </w:p>
        </w:tc>
        <w:tc>
          <w:tcPr>
            <w:tcW w:w="1336" w:type="dxa"/>
            <w:tcBorders>
              <w:top w:val="nil"/>
              <w:left w:val="nil"/>
              <w:bottom w:val="nil"/>
              <w:right w:val="nil"/>
            </w:tcBorders>
            <w:vAlign w:val="center"/>
          </w:tcPr>
          <w:p w14:paraId="0039A0E4" w14:textId="083CC464" w:rsidR="00472F96" w:rsidRPr="00472F96" w:rsidRDefault="00EB3070" w:rsidP="00EB3070">
            <w:pPr>
              <w:tabs>
                <w:tab w:val="decimal" w:pos="595"/>
              </w:tabs>
              <w:spacing w:line="240" w:lineRule="auto"/>
              <w:rPr>
                <w:sz w:val="22"/>
              </w:rPr>
            </w:pPr>
            <w:r>
              <w:rPr>
                <w:sz w:val="22"/>
              </w:rPr>
              <w:t>5.9</w:t>
            </w:r>
          </w:p>
        </w:tc>
        <w:tc>
          <w:tcPr>
            <w:tcW w:w="1336" w:type="dxa"/>
            <w:tcBorders>
              <w:top w:val="nil"/>
              <w:left w:val="nil"/>
              <w:bottom w:val="nil"/>
              <w:right w:val="nil"/>
            </w:tcBorders>
            <w:vAlign w:val="center"/>
          </w:tcPr>
          <w:p w14:paraId="3DDDF9F5" w14:textId="77777777" w:rsidR="00472F96" w:rsidRPr="00472F96" w:rsidRDefault="00472F96" w:rsidP="00472F96">
            <w:pPr>
              <w:tabs>
                <w:tab w:val="decimal" w:pos="876"/>
              </w:tabs>
              <w:spacing w:line="240" w:lineRule="auto"/>
              <w:rPr>
                <w:sz w:val="22"/>
              </w:rPr>
            </w:pPr>
            <w:r w:rsidRPr="00472F96">
              <w:rPr>
                <w:sz w:val="22"/>
              </w:rPr>
              <w:t>98</w:t>
            </w:r>
          </w:p>
        </w:tc>
      </w:tr>
      <w:tr w:rsidR="00472F96" w:rsidRPr="00472F96" w14:paraId="060B3291" w14:textId="77777777" w:rsidTr="00EC2CFC">
        <w:tc>
          <w:tcPr>
            <w:tcW w:w="2672" w:type="dxa"/>
            <w:tcBorders>
              <w:top w:val="nil"/>
              <w:left w:val="nil"/>
              <w:bottom w:val="nil"/>
              <w:right w:val="nil"/>
            </w:tcBorders>
            <w:vAlign w:val="center"/>
          </w:tcPr>
          <w:p w14:paraId="141EDED9" w14:textId="77777777" w:rsidR="00472F96" w:rsidRPr="00472F96" w:rsidRDefault="00472F96" w:rsidP="00472F96">
            <w:pPr>
              <w:spacing w:line="240" w:lineRule="auto"/>
              <w:rPr>
                <w:sz w:val="22"/>
                <w:u w:val="single"/>
              </w:rPr>
            </w:pPr>
          </w:p>
          <w:p w14:paraId="7F57DE87" w14:textId="77777777" w:rsidR="00472F96" w:rsidRPr="00472F96" w:rsidRDefault="00472F96" w:rsidP="00472F96">
            <w:pPr>
              <w:spacing w:line="240" w:lineRule="auto"/>
              <w:rPr>
                <w:sz w:val="22"/>
                <w:u w:val="single"/>
              </w:rPr>
            </w:pPr>
            <w:r w:rsidRPr="00472F96">
              <w:rPr>
                <w:sz w:val="22"/>
                <w:u w:val="single"/>
              </w:rPr>
              <w:t xml:space="preserve">SPARC Eligible </w:t>
            </w:r>
          </w:p>
          <w:p w14:paraId="6900EDFB" w14:textId="77777777" w:rsidR="00472F96" w:rsidRPr="00472F96" w:rsidRDefault="00472F96" w:rsidP="00472F96">
            <w:pPr>
              <w:spacing w:line="240" w:lineRule="auto"/>
              <w:rPr>
                <w:sz w:val="22"/>
              </w:rPr>
            </w:pPr>
            <w:r w:rsidRPr="00472F96">
              <w:rPr>
                <w:sz w:val="22"/>
              </w:rPr>
              <w:t>SPARC</w:t>
            </w:r>
          </w:p>
        </w:tc>
        <w:tc>
          <w:tcPr>
            <w:tcW w:w="1335" w:type="dxa"/>
            <w:tcBorders>
              <w:top w:val="nil"/>
              <w:left w:val="nil"/>
              <w:bottom w:val="nil"/>
              <w:right w:val="nil"/>
            </w:tcBorders>
            <w:vAlign w:val="center"/>
          </w:tcPr>
          <w:p w14:paraId="63B6A9A5" w14:textId="77777777" w:rsidR="00472F96" w:rsidRPr="00472F96" w:rsidRDefault="00472F96" w:rsidP="00472F96">
            <w:pPr>
              <w:tabs>
                <w:tab w:val="decimal" w:pos="730"/>
              </w:tabs>
              <w:spacing w:line="240" w:lineRule="auto"/>
              <w:rPr>
                <w:sz w:val="22"/>
              </w:rPr>
            </w:pPr>
          </w:p>
          <w:p w14:paraId="71971B9F" w14:textId="77777777" w:rsidR="00472F96" w:rsidRPr="00472F96" w:rsidRDefault="00472F96" w:rsidP="00472F96">
            <w:pPr>
              <w:tabs>
                <w:tab w:val="decimal" w:pos="730"/>
              </w:tabs>
              <w:spacing w:line="240" w:lineRule="auto"/>
              <w:rPr>
                <w:sz w:val="22"/>
              </w:rPr>
            </w:pPr>
          </w:p>
          <w:p w14:paraId="4D0B8631" w14:textId="77777777" w:rsidR="00472F96" w:rsidRPr="00472F96" w:rsidRDefault="00472F96" w:rsidP="00472F96">
            <w:pPr>
              <w:tabs>
                <w:tab w:val="decimal" w:pos="730"/>
              </w:tabs>
              <w:spacing w:line="240" w:lineRule="auto"/>
              <w:rPr>
                <w:sz w:val="22"/>
              </w:rPr>
            </w:pPr>
            <w:r w:rsidRPr="00472F96">
              <w:rPr>
                <w:sz w:val="22"/>
              </w:rPr>
              <w:t>247</w:t>
            </w:r>
          </w:p>
        </w:tc>
        <w:tc>
          <w:tcPr>
            <w:tcW w:w="1335" w:type="dxa"/>
            <w:tcBorders>
              <w:top w:val="nil"/>
              <w:left w:val="nil"/>
              <w:bottom w:val="nil"/>
              <w:right w:val="nil"/>
            </w:tcBorders>
            <w:vAlign w:val="center"/>
          </w:tcPr>
          <w:p w14:paraId="4E27E123" w14:textId="77777777" w:rsidR="00472F96" w:rsidRPr="00472F96" w:rsidRDefault="00472F96" w:rsidP="00EB3070">
            <w:pPr>
              <w:tabs>
                <w:tab w:val="decimal" w:pos="563"/>
              </w:tabs>
              <w:spacing w:line="240" w:lineRule="auto"/>
              <w:rPr>
                <w:sz w:val="22"/>
              </w:rPr>
            </w:pPr>
          </w:p>
          <w:p w14:paraId="6AF4E5A9" w14:textId="77777777" w:rsidR="00472F96" w:rsidRPr="00472F96" w:rsidRDefault="00472F96" w:rsidP="00EB3070">
            <w:pPr>
              <w:tabs>
                <w:tab w:val="decimal" w:pos="563"/>
              </w:tabs>
              <w:spacing w:line="240" w:lineRule="auto"/>
              <w:rPr>
                <w:sz w:val="22"/>
              </w:rPr>
            </w:pPr>
          </w:p>
          <w:p w14:paraId="501B7E74" w14:textId="7A27358C" w:rsidR="00472F96" w:rsidRPr="00472F96" w:rsidRDefault="00EB3070" w:rsidP="00EB3070">
            <w:pPr>
              <w:tabs>
                <w:tab w:val="decimal" w:pos="563"/>
              </w:tabs>
              <w:spacing w:line="240" w:lineRule="auto"/>
              <w:rPr>
                <w:sz w:val="22"/>
              </w:rPr>
            </w:pPr>
            <w:r>
              <w:rPr>
                <w:sz w:val="22"/>
              </w:rPr>
              <w:t>27.0</w:t>
            </w:r>
          </w:p>
        </w:tc>
        <w:tc>
          <w:tcPr>
            <w:tcW w:w="1336" w:type="dxa"/>
            <w:tcBorders>
              <w:top w:val="nil"/>
              <w:left w:val="nil"/>
              <w:bottom w:val="nil"/>
              <w:right w:val="nil"/>
            </w:tcBorders>
            <w:vAlign w:val="center"/>
          </w:tcPr>
          <w:p w14:paraId="49CEFDEF" w14:textId="77777777" w:rsidR="00472F96" w:rsidRPr="00472F96" w:rsidRDefault="00472F96" w:rsidP="00472F96">
            <w:pPr>
              <w:tabs>
                <w:tab w:val="decimal" w:pos="758"/>
              </w:tabs>
              <w:spacing w:line="240" w:lineRule="auto"/>
              <w:rPr>
                <w:sz w:val="22"/>
              </w:rPr>
            </w:pPr>
          </w:p>
          <w:p w14:paraId="24F092D7" w14:textId="77777777" w:rsidR="00472F96" w:rsidRPr="00472F96" w:rsidRDefault="00472F96" w:rsidP="00472F96">
            <w:pPr>
              <w:tabs>
                <w:tab w:val="decimal" w:pos="758"/>
              </w:tabs>
              <w:spacing w:line="240" w:lineRule="auto"/>
              <w:rPr>
                <w:sz w:val="22"/>
              </w:rPr>
            </w:pPr>
          </w:p>
          <w:p w14:paraId="3C3E13DA" w14:textId="77777777" w:rsidR="00472F96" w:rsidRPr="00472F96" w:rsidRDefault="00472F96" w:rsidP="00472F96">
            <w:pPr>
              <w:tabs>
                <w:tab w:val="decimal" w:pos="758"/>
              </w:tabs>
              <w:spacing w:line="240" w:lineRule="auto"/>
              <w:rPr>
                <w:sz w:val="22"/>
              </w:rPr>
            </w:pPr>
            <w:r w:rsidRPr="00472F96">
              <w:rPr>
                <w:sz w:val="22"/>
              </w:rPr>
              <w:t>233</w:t>
            </w:r>
          </w:p>
        </w:tc>
        <w:tc>
          <w:tcPr>
            <w:tcW w:w="1336" w:type="dxa"/>
            <w:tcBorders>
              <w:top w:val="nil"/>
              <w:left w:val="nil"/>
              <w:bottom w:val="nil"/>
              <w:right w:val="nil"/>
            </w:tcBorders>
            <w:vAlign w:val="center"/>
          </w:tcPr>
          <w:p w14:paraId="348C728E" w14:textId="77777777" w:rsidR="00472F96" w:rsidRPr="00472F96" w:rsidRDefault="00472F96" w:rsidP="00EB3070">
            <w:pPr>
              <w:tabs>
                <w:tab w:val="decimal" w:pos="595"/>
              </w:tabs>
              <w:spacing w:line="240" w:lineRule="auto"/>
              <w:rPr>
                <w:sz w:val="22"/>
              </w:rPr>
            </w:pPr>
          </w:p>
          <w:p w14:paraId="0B137BB2" w14:textId="77777777" w:rsidR="00472F96" w:rsidRPr="00472F96" w:rsidRDefault="00472F96" w:rsidP="00EB3070">
            <w:pPr>
              <w:tabs>
                <w:tab w:val="decimal" w:pos="595"/>
              </w:tabs>
              <w:spacing w:line="240" w:lineRule="auto"/>
              <w:rPr>
                <w:sz w:val="22"/>
              </w:rPr>
            </w:pPr>
          </w:p>
          <w:p w14:paraId="057D016F" w14:textId="6104C625" w:rsidR="00472F96" w:rsidRPr="00472F96" w:rsidRDefault="00EB3070" w:rsidP="00EB3070">
            <w:pPr>
              <w:tabs>
                <w:tab w:val="decimal" w:pos="595"/>
              </w:tabs>
              <w:spacing w:line="240" w:lineRule="auto"/>
              <w:rPr>
                <w:sz w:val="22"/>
              </w:rPr>
            </w:pPr>
            <w:r>
              <w:rPr>
                <w:sz w:val="22"/>
              </w:rPr>
              <w:t>20.1</w:t>
            </w:r>
          </w:p>
        </w:tc>
        <w:tc>
          <w:tcPr>
            <w:tcW w:w="1336" w:type="dxa"/>
            <w:tcBorders>
              <w:top w:val="nil"/>
              <w:left w:val="nil"/>
              <w:bottom w:val="nil"/>
              <w:right w:val="nil"/>
            </w:tcBorders>
            <w:vAlign w:val="center"/>
          </w:tcPr>
          <w:p w14:paraId="27ACA16B" w14:textId="77777777" w:rsidR="00472F96" w:rsidRPr="00472F96" w:rsidRDefault="00472F96" w:rsidP="00472F96">
            <w:pPr>
              <w:tabs>
                <w:tab w:val="decimal" w:pos="876"/>
              </w:tabs>
              <w:spacing w:line="240" w:lineRule="auto"/>
              <w:rPr>
                <w:sz w:val="22"/>
              </w:rPr>
            </w:pPr>
          </w:p>
          <w:p w14:paraId="24B95226" w14:textId="77777777" w:rsidR="00472F96" w:rsidRPr="00472F96" w:rsidRDefault="00472F96" w:rsidP="00472F96">
            <w:pPr>
              <w:tabs>
                <w:tab w:val="decimal" w:pos="876"/>
              </w:tabs>
              <w:spacing w:line="240" w:lineRule="auto"/>
              <w:rPr>
                <w:sz w:val="22"/>
              </w:rPr>
            </w:pPr>
          </w:p>
          <w:p w14:paraId="74915232" w14:textId="77777777" w:rsidR="00472F96" w:rsidRPr="00472F96" w:rsidRDefault="00472F96" w:rsidP="00472F96">
            <w:pPr>
              <w:tabs>
                <w:tab w:val="decimal" w:pos="876"/>
              </w:tabs>
              <w:spacing w:line="240" w:lineRule="auto"/>
              <w:rPr>
                <w:sz w:val="22"/>
              </w:rPr>
            </w:pPr>
            <w:r w:rsidRPr="00472F96">
              <w:rPr>
                <w:sz w:val="22"/>
              </w:rPr>
              <w:t>480</w:t>
            </w:r>
          </w:p>
        </w:tc>
      </w:tr>
      <w:tr w:rsidR="00472F96" w:rsidRPr="00472F96" w14:paraId="4BA23D3B" w14:textId="77777777" w:rsidTr="00EC2CFC">
        <w:tc>
          <w:tcPr>
            <w:tcW w:w="2672" w:type="dxa"/>
            <w:tcBorders>
              <w:top w:val="nil"/>
              <w:left w:val="nil"/>
              <w:bottom w:val="nil"/>
              <w:right w:val="nil"/>
            </w:tcBorders>
            <w:vAlign w:val="center"/>
          </w:tcPr>
          <w:p w14:paraId="769F9573" w14:textId="77777777" w:rsidR="00472F96" w:rsidRPr="00472F96" w:rsidRDefault="00472F96" w:rsidP="00472F96">
            <w:pPr>
              <w:spacing w:line="240" w:lineRule="auto"/>
              <w:rPr>
                <w:sz w:val="22"/>
              </w:rPr>
            </w:pPr>
            <w:r w:rsidRPr="00472F96">
              <w:rPr>
                <w:sz w:val="22"/>
              </w:rPr>
              <w:t>Non-SPARC</w:t>
            </w:r>
          </w:p>
        </w:tc>
        <w:tc>
          <w:tcPr>
            <w:tcW w:w="1335" w:type="dxa"/>
            <w:tcBorders>
              <w:top w:val="nil"/>
              <w:left w:val="nil"/>
              <w:bottom w:val="nil"/>
              <w:right w:val="nil"/>
            </w:tcBorders>
            <w:vAlign w:val="center"/>
          </w:tcPr>
          <w:p w14:paraId="6335667E" w14:textId="77777777" w:rsidR="00472F96" w:rsidRPr="00472F96" w:rsidRDefault="00472F96" w:rsidP="00472F96">
            <w:pPr>
              <w:tabs>
                <w:tab w:val="decimal" w:pos="730"/>
              </w:tabs>
              <w:spacing w:line="240" w:lineRule="auto"/>
              <w:rPr>
                <w:sz w:val="22"/>
              </w:rPr>
            </w:pPr>
            <w:r w:rsidRPr="00472F96">
              <w:rPr>
                <w:sz w:val="22"/>
              </w:rPr>
              <w:t>669</w:t>
            </w:r>
          </w:p>
        </w:tc>
        <w:tc>
          <w:tcPr>
            <w:tcW w:w="1335" w:type="dxa"/>
            <w:tcBorders>
              <w:top w:val="nil"/>
              <w:left w:val="nil"/>
              <w:bottom w:val="nil"/>
              <w:right w:val="nil"/>
            </w:tcBorders>
            <w:vAlign w:val="center"/>
          </w:tcPr>
          <w:p w14:paraId="12A9EA96" w14:textId="3D96DA66" w:rsidR="00472F96" w:rsidRPr="00472F96" w:rsidRDefault="00EB3070" w:rsidP="00EB3070">
            <w:pPr>
              <w:tabs>
                <w:tab w:val="decimal" w:pos="563"/>
              </w:tabs>
              <w:spacing w:line="240" w:lineRule="auto"/>
              <w:rPr>
                <w:sz w:val="22"/>
              </w:rPr>
            </w:pPr>
            <w:r>
              <w:rPr>
                <w:sz w:val="22"/>
              </w:rPr>
              <w:t>73.0</w:t>
            </w:r>
          </w:p>
        </w:tc>
        <w:tc>
          <w:tcPr>
            <w:tcW w:w="1336" w:type="dxa"/>
            <w:tcBorders>
              <w:top w:val="nil"/>
              <w:left w:val="nil"/>
              <w:bottom w:val="nil"/>
              <w:right w:val="nil"/>
            </w:tcBorders>
            <w:vAlign w:val="center"/>
          </w:tcPr>
          <w:p w14:paraId="1B9924CE" w14:textId="77777777" w:rsidR="00472F96" w:rsidRPr="00472F96" w:rsidRDefault="00472F96" w:rsidP="00472F96">
            <w:pPr>
              <w:tabs>
                <w:tab w:val="decimal" w:pos="758"/>
              </w:tabs>
              <w:spacing w:line="240" w:lineRule="auto"/>
              <w:rPr>
                <w:sz w:val="22"/>
              </w:rPr>
            </w:pPr>
            <w:r w:rsidRPr="00472F96">
              <w:rPr>
                <w:sz w:val="22"/>
              </w:rPr>
              <w:t>929</w:t>
            </w:r>
          </w:p>
        </w:tc>
        <w:tc>
          <w:tcPr>
            <w:tcW w:w="1336" w:type="dxa"/>
            <w:tcBorders>
              <w:top w:val="nil"/>
              <w:left w:val="nil"/>
              <w:bottom w:val="nil"/>
              <w:right w:val="nil"/>
            </w:tcBorders>
            <w:vAlign w:val="center"/>
          </w:tcPr>
          <w:p w14:paraId="5D25C209" w14:textId="317FA5F2" w:rsidR="00472F96" w:rsidRPr="00472F96" w:rsidRDefault="00EB3070" w:rsidP="00EB3070">
            <w:pPr>
              <w:tabs>
                <w:tab w:val="decimal" w:pos="595"/>
              </w:tabs>
              <w:spacing w:line="240" w:lineRule="auto"/>
              <w:rPr>
                <w:sz w:val="22"/>
              </w:rPr>
            </w:pPr>
            <w:r>
              <w:rPr>
                <w:sz w:val="22"/>
              </w:rPr>
              <w:t>79.9</w:t>
            </w:r>
          </w:p>
        </w:tc>
        <w:tc>
          <w:tcPr>
            <w:tcW w:w="1336" w:type="dxa"/>
            <w:tcBorders>
              <w:top w:val="nil"/>
              <w:left w:val="nil"/>
              <w:bottom w:val="nil"/>
              <w:right w:val="nil"/>
            </w:tcBorders>
            <w:vAlign w:val="center"/>
          </w:tcPr>
          <w:p w14:paraId="0C91ACE3" w14:textId="77777777" w:rsidR="00472F96" w:rsidRPr="00472F96" w:rsidRDefault="00472F96" w:rsidP="00472F96">
            <w:pPr>
              <w:tabs>
                <w:tab w:val="decimal" w:pos="876"/>
              </w:tabs>
              <w:spacing w:line="240" w:lineRule="auto"/>
              <w:rPr>
                <w:sz w:val="22"/>
              </w:rPr>
            </w:pPr>
            <w:r w:rsidRPr="00472F96">
              <w:rPr>
                <w:sz w:val="22"/>
              </w:rPr>
              <w:t>1598</w:t>
            </w:r>
          </w:p>
        </w:tc>
      </w:tr>
      <w:tr w:rsidR="00472F96" w:rsidRPr="00472F96" w14:paraId="63CA76CD" w14:textId="77777777" w:rsidTr="00EC2CFC">
        <w:tc>
          <w:tcPr>
            <w:tcW w:w="2672" w:type="dxa"/>
            <w:tcBorders>
              <w:top w:val="nil"/>
              <w:left w:val="nil"/>
              <w:bottom w:val="nil"/>
              <w:right w:val="nil"/>
            </w:tcBorders>
            <w:vAlign w:val="center"/>
          </w:tcPr>
          <w:p w14:paraId="2A13E630" w14:textId="77777777" w:rsidR="00472F96" w:rsidRPr="00472F96" w:rsidRDefault="00472F96" w:rsidP="00472F96">
            <w:pPr>
              <w:spacing w:line="240" w:lineRule="auto"/>
              <w:rPr>
                <w:sz w:val="22"/>
                <w:u w:val="single"/>
              </w:rPr>
            </w:pPr>
          </w:p>
          <w:p w14:paraId="58728C8A" w14:textId="77777777" w:rsidR="00472F96" w:rsidRPr="00472F96" w:rsidRDefault="00472F96" w:rsidP="00472F96">
            <w:pPr>
              <w:spacing w:line="240" w:lineRule="auto"/>
              <w:rPr>
                <w:sz w:val="22"/>
                <w:u w:val="single"/>
              </w:rPr>
            </w:pPr>
            <w:r w:rsidRPr="00472F96">
              <w:rPr>
                <w:sz w:val="22"/>
                <w:u w:val="single"/>
              </w:rPr>
              <w:t xml:space="preserve">Pell Eligibility </w:t>
            </w:r>
          </w:p>
          <w:p w14:paraId="3D866073" w14:textId="77777777" w:rsidR="00472F96" w:rsidRPr="00472F96" w:rsidRDefault="00472F96" w:rsidP="00472F96">
            <w:pPr>
              <w:spacing w:line="240" w:lineRule="auto"/>
              <w:rPr>
                <w:sz w:val="22"/>
              </w:rPr>
            </w:pPr>
            <w:r w:rsidRPr="00472F96">
              <w:rPr>
                <w:sz w:val="22"/>
              </w:rPr>
              <w:t>Pell Eligible</w:t>
            </w:r>
          </w:p>
        </w:tc>
        <w:tc>
          <w:tcPr>
            <w:tcW w:w="1335" w:type="dxa"/>
            <w:tcBorders>
              <w:top w:val="nil"/>
              <w:left w:val="nil"/>
              <w:bottom w:val="nil"/>
              <w:right w:val="nil"/>
            </w:tcBorders>
            <w:vAlign w:val="center"/>
          </w:tcPr>
          <w:p w14:paraId="672EFF35" w14:textId="77777777" w:rsidR="00472F96" w:rsidRPr="00472F96" w:rsidRDefault="00472F96" w:rsidP="00472F96">
            <w:pPr>
              <w:tabs>
                <w:tab w:val="decimal" w:pos="730"/>
              </w:tabs>
              <w:spacing w:line="240" w:lineRule="auto"/>
              <w:rPr>
                <w:sz w:val="22"/>
              </w:rPr>
            </w:pPr>
          </w:p>
          <w:p w14:paraId="11016F85" w14:textId="77777777" w:rsidR="00472F96" w:rsidRPr="00472F96" w:rsidRDefault="00472F96" w:rsidP="00472F96">
            <w:pPr>
              <w:tabs>
                <w:tab w:val="decimal" w:pos="730"/>
              </w:tabs>
              <w:spacing w:line="240" w:lineRule="auto"/>
              <w:rPr>
                <w:sz w:val="22"/>
              </w:rPr>
            </w:pPr>
          </w:p>
          <w:p w14:paraId="7F1FFDEE" w14:textId="77777777" w:rsidR="00472F96" w:rsidRPr="00472F96" w:rsidRDefault="00472F96" w:rsidP="00472F96">
            <w:pPr>
              <w:tabs>
                <w:tab w:val="decimal" w:pos="730"/>
              </w:tabs>
              <w:spacing w:line="240" w:lineRule="auto"/>
              <w:rPr>
                <w:sz w:val="22"/>
              </w:rPr>
            </w:pPr>
            <w:r w:rsidRPr="00472F96">
              <w:rPr>
                <w:sz w:val="22"/>
              </w:rPr>
              <w:t>473</w:t>
            </w:r>
          </w:p>
        </w:tc>
        <w:tc>
          <w:tcPr>
            <w:tcW w:w="1335" w:type="dxa"/>
            <w:tcBorders>
              <w:top w:val="nil"/>
              <w:left w:val="nil"/>
              <w:bottom w:val="nil"/>
              <w:right w:val="nil"/>
            </w:tcBorders>
            <w:vAlign w:val="center"/>
          </w:tcPr>
          <w:p w14:paraId="095D91A5" w14:textId="77777777" w:rsidR="00472F96" w:rsidRPr="00472F96" w:rsidRDefault="00472F96" w:rsidP="00EB3070">
            <w:pPr>
              <w:tabs>
                <w:tab w:val="decimal" w:pos="563"/>
              </w:tabs>
              <w:spacing w:line="240" w:lineRule="auto"/>
              <w:rPr>
                <w:sz w:val="22"/>
              </w:rPr>
            </w:pPr>
          </w:p>
          <w:p w14:paraId="65A915EB" w14:textId="77777777" w:rsidR="00472F96" w:rsidRPr="00472F96" w:rsidRDefault="00472F96" w:rsidP="00EB3070">
            <w:pPr>
              <w:tabs>
                <w:tab w:val="decimal" w:pos="563"/>
              </w:tabs>
              <w:spacing w:line="240" w:lineRule="auto"/>
              <w:rPr>
                <w:sz w:val="22"/>
              </w:rPr>
            </w:pPr>
          </w:p>
          <w:p w14:paraId="22BAD44E" w14:textId="4847741F" w:rsidR="00472F96" w:rsidRPr="00472F96" w:rsidRDefault="00EB3070" w:rsidP="00EB3070">
            <w:pPr>
              <w:tabs>
                <w:tab w:val="decimal" w:pos="563"/>
              </w:tabs>
              <w:spacing w:line="240" w:lineRule="auto"/>
              <w:rPr>
                <w:sz w:val="22"/>
              </w:rPr>
            </w:pPr>
            <w:r>
              <w:rPr>
                <w:sz w:val="22"/>
              </w:rPr>
              <w:t>51.6</w:t>
            </w:r>
          </w:p>
        </w:tc>
        <w:tc>
          <w:tcPr>
            <w:tcW w:w="1336" w:type="dxa"/>
            <w:tcBorders>
              <w:top w:val="nil"/>
              <w:left w:val="nil"/>
              <w:bottom w:val="nil"/>
              <w:right w:val="nil"/>
            </w:tcBorders>
            <w:vAlign w:val="center"/>
          </w:tcPr>
          <w:p w14:paraId="746F7871" w14:textId="77777777" w:rsidR="00472F96" w:rsidRPr="00472F96" w:rsidRDefault="00472F96" w:rsidP="00472F96">
            <w:pPr>
              <w:tabs>
                <w:tab w:val="decimal" w:pos="758"/>
              </w:tabs>
              <w:spacing w:line="240" w:lineRule="auto"/>
              <w:rPr>
                <w:sz w:val="22"/>
              </w:rPr>
            </w:pPr>
          </w:p>
          <w:p w14:paraId="736C8B85" w14:textId="77777777" w:rsidR="00472F96" w:rsidRPr="00472F96" w:rsidRDefault="00472F96" w:rsidP="00472F96">
            <w:pPr>
              <w:tabs>
                <w:tab w:val="decimal" w:pos="758"/>
              </w:tabs>
              <w:spacing w:line="240" w:lineRule="auto"/>
              <w:rPr>
                <w:sz w:val="22"/>
              </w:rPr>
            </w:pPr>
          </w:p>
          <w:p w14:paraId="263172EA" w14:textId="77777777" w:rsidR="00472F96" w:rsidRPr="00472F96" w:rsidRDefault="00472F96" w:rsidP="00472F96">
            <w:pPr>
              <w:tabs>
                <w:tab w:val="decimal" w:pos="758"/>
              </w:tabs>
              <w:spacing w:line="240" w:lineRule="auto"/>
              <w:rPr>
                <w:sz w:val="22"/>
              </w:rPr>
            </w:pPr>
            <w:r w:rsidRPr="00472F96">
              <w:rPr>
                <w:sz w:val="22"/>
              </w:rPr>
              <w:t>682</w:t>
            </w:r>
          </w:p>
        </w:tc>
        <w:tc>
          <w:tcPr>
            <w:tcW w:w="1336" w:type="dxa"/>
            <w:tcBorders>
              <w:top w:val="nil"/>
              <w:left w:val="nil"/>
              <w:bottom w:val="nil"/>
              <w:right w:val="nil"/>
            </w:tcBorders>
            <w:vAlign w:val="center"/>
          </w:tcPr>
          <w:p w14:paraId="52124FC0" w14:textId="77777777" w:rsidR="00472F96" w:rsidRPr="00472F96" w:rsidRDefault="00472F96" w:rsidP="00EB3070">
            <w:pPr>
              <w:tabs>
                <w:tab w:val="decimal" w:pos="595"/>
              </w:tabs>
              <w:spacing w:line="240" w:lineRule="auto"/>
              <w:rPr>
                <w:sz w:val="22"/>
              </w:rPr>
            </w:pPr>
          </w:p>
          <w:p w14:paraId="238A634D" w14:textId="77777777" w:rsidR="00472F96" w:rsidRPr="00472F96" w:rsidRDefault="00472F96" w:rsidP="00EB3070">
            <w:pPr>
              <w:tabs>
                <w:tab w:val="decimal" w:pos="595"/>
              </w:tabs>
              <w:spacing w:line="240" w:lineRule="auto"/>
              <w:rPr>
                <w:sz w:val="22"/>
              </w:rPr>
            </w:pPr>
          </w:p>
          <w:p w14:paraId="0F103FB1" w14:textId="2A285CEA" w:rsidR="00472F96" w:rsidRPr="00472F96" w:rsidRDefault="00472F96" w:rsidP="00EB3070">
            <w:pPr>
              <w:tabs>
                <w:tab w:val="decimal" w:pos="595"/>
              </w:tabs>
              <w:spacing w:line="240" w:lineRule="auto"/>
              <w:rPr>
                <w:sz w:val="22"/>
              </w:rPr>
            </w:pPr>
            <w:r w:rsidRPr="00472F96">
              <w:rPr>
                <w:sz w:val="22"/>
              </w:rPr>
              <w:t>5</w:t>
            </w:r>
            <w:r w:rsidR="00EB3070">
              <w:rPr>
                <w:sz w:val="22"/>
              </w:rPr>
              <w:t>8.7</w:t>
            </w:r>
          </w:p>
        </w:tc>
        <w:tc>
          <w:tcPr>
            <w:tcW w:w="1336" w:type="dxa"/>
            <w:tcBorders>
              <w:top w:val="nil"/>
              <w:left w:val="nil"/>
              <w:bottom w:val="nil"/>
              <w:right w:val="nil"/>
            </w:tcBorders>
            <w:vAlign w:val="center"/>
          </w:tcPr>
          <w:p w14:paraId="7D681E0C" w14:textId="77777777" w:rsidR="00472F96" w:rsidRPr="00472F96" w:rsidRDefault="00472F96" w:rsidP="00472F96">
            <w:pPr>
              <w:tabs>
                <w:tab w:val="decimal" w:pos="876"/>
              </w:tabs>
              <w:spacing w:line="240" w:lineRule="auto"/>
              <w:rPr>
                <w:sz w:val="22"/>
              </w:rPr>
            </w:pPr>
          </w:p>
          <w:p w14:paraId="1E55ADC5" w14:textId="77777777" w:rsidR="00472F96" w:rsidRPr="00472F96" w:rsidRDefault="00472F96" w:rsidP="00472F96">
            <w:pPr>
              <w:tabs>
                <w:tab w:val="decimal" w:pos="876"/>
              </w:tabs>
              <w:spacing w:line="240" w:lineRule="auto"/>
              <w:rPr>
                <w:sz w:val="22"/>
              </w:rPr>
            </w:pPr>
          </w:p>
          <w:p w14:paraId="57F81856" w14:textId="77777777" w:rsidR="00472F96" w:rsidRPr="00472F96" w:rsidRDefault="00472F96" w:rsidP="00472F96">
            <w:pPr>
              <w:tabs>
                <w:tab w:val="decimal" w:pos="876"/>
              </w:tabs>
              <w:spacing w:line="240" w:lineRule="auto"/>
              <w:rPr>
                <w:sz w:val="22"/>
              </w:rPr>
            </w:pPr>
            <w:r w:rsidRPr="00472F96">
              <w:rPr>
                <w:sz w:val="22"/>
              </w:rPr>
              <w:t>1155</w:t>
            </w:r>
          </w:p>
        </w:tc>
      </w:tr>
      <w:tr w:rsidR="00472F96" w:rsidRPr="00472F96" w14:paraId="2995CC5D" w14:textId="77777777" w:rsidTr="00EC2CFC">
        <w:tc>
          <w:tcPr>
            <w:tcW w:w="2672" w:type="dxa"/>
            <w:tcBorders>
              <w:top w:val="nil"/>
              <w:left w:val="nil"/>
              <w:bottom w:val="nil"/>
              <w:right w:val="nil"/>
            </w:tcBorders>
            <w:vAlign w:val="center"/>
          </w:tcPr>
          <w:p w14:paraId="693C9553" w14:textId="77777777" w:rsidR="00472F96" w:rsidRPr="00472F96" w:rsidRDefault="00472F96" w:rsidP="00472F96">
            <w:pPr>
              <w:spacing w:line="240" w:lineRule="auto"/>
              <w:rPr>
                <w:sz w:val="22"/>
              </w:rPr>
            </w:pPr>
            <w:r w:rsidRPr="00472F96">
              <w:rPr>
                <w:sz w:val="22"/>
              </w:rPr>
              <w:t>Non-Pell Eligible</w:t>
            </w:r>
          </w:p>
        </w:tc>
        <w:tc>
          <w:tcPr>
            <w:tcW w:w="1335" w:type="dxa"/>
            <w:tcBorders>
              <w:top w:val="nil"/>
              <w:left w:val="nil"/>
              <w:bottom w:val="nil"/>
              <w:right w:val="nil"/>
            </w:tcBorders>
            <w:vAlign w:val="center"/>
          </w:tcPr>
          <w:p w14:paraId="54397ED9" w14:textId="77777777" w:rsidR="00472F96" w:rsidRPr="00472F96" w:rsidRDefault="00472F96" w:rsidP="00472F96">
            <w:pPr>
              <w:tabs>
                <w:tab w:val="decimal" w:pos="730"/>
              </w:tabs>
              <w:spacing w:line="240" w:lineRule="auto"/>
              <w:rPr>
                <w:sz w:val="22"/>
              </w:rPr>
            </w:pPr>
            <w:r w:rsidRPr="00472F96">
              <w:rPr>
                <w:sz w:val="22"/>
              </w:rPr>
              <w:t>443</w:t>
            </w:r>
          </w:p>
        </w:tc>
        <w:tc>
          <w:tcPr>
            <w:tcW w:w="1335" w:type="dxa"/>
            <w:tcBorders>
              <w:top w:val="nil"/>
              <w:left w:val="nil"/>
              <w:bottom w:val="nil"/>
              <w:right w:val="nil"/>
            </w:tcBorders>
            <w:vAlign w:val="center"/>
          </w:tcPr>
          <w:p w14:paraId="3CC421AD" w14:textId="177C7D2E" w:rsidR="00472F96" w:rsidRPr="00472F96" w:rsidRDefault="00472F96" w:rsidP="00EB3070">
            <w:pPr>
              <w:tabs>
                <w:tab w:val="decimal" w:pos="563"/>
              </w:tabs>
              <w:spacing w:line="240" w:lineRule="auto"/>
              <w:rPr>
                <w:sz w:val="22"/>
              </w:rPr>
            </w:pPr>
            <w:r w:rsidRPr="00472F96">
              <w:rPr>
                <w:sz w:val="22"/>
              </w:rPr>
              <w:t>48</w:t>
            </w:r>
            <w:r w:rsidR="00EB3070">
              <w:rPr>
                <w:sz w:val="22"/>
              </w:rPr>
              <w:t>.4</w:t>
            </w:r>
          </w:p>
        </w:tc>
        <w:tc>
          <w:tcPr>
            <w:tcW w:w="1336" w:type="dxa"/>
            <w:tcBorders>
              <w:top w:val="nil"/>
              <w:left w:val="nil"/>
              <w:bottom w:val="nil"/>
              <w:right w:val="nil"/>
            </w:tcBorders>
            <w:vAlign w:val="center"/>
          </w:tcPr>
          <w:p w14:paraId="4B4CB154" w14:textId="77777777" w:rsidR="00472F96" w:rsidRPr="00472F96" w:rsidRDefault="00472F96" w:rsidP="00472F96">
            <w:pPr>
              <w:tabs>
                <w:tab w:val="decimal" w:pos="758"/>
              </w:tabs>
              <w:spacing w:line="240" w:lineRule="auto"/>
              <w:rPr>
                <w:sz w:val="22"/>
              </w:rPr>
            </w:pPr>
            <w:r w:rsidRPr="00472F96">
              <w:rPr>
                <w:sz w:val="22"/>
              </w:rPr>
              <w:t>480</w:t>
            </w:r>
          </w:p>
        </w:tc>
        <w:tc>
          <w:tcPr>
            <w:tcW w:w="1336" w:type="dxa"/>
            <w:tcBorders>
              <w:top w:val="nil"/>
              <w:left w:val="nil"/>
              <w:bottom w:val="nil"/>
              <w:right w:val="nil"/>
            </w:tcBorders>
            <w:vAlign w:val="center"/>
          </w:tcPr>
          <w:p w14:paraId="583BC84B" w14:textId="295F3BCC" w:rsidR="00472F96" w:rsidRPr="00472F96" w:rsidRDefault="00EB3070" w:rsidP="00EB3070">
            <w:pPr>
              <w:tabs>
                <w:tab w:val="decimal" w:pos="595"/>
              </w:tabs>
              <w:spacing w:line="240" w:lineRule="auto"/>
              <w:rPr>
                <w:sz w:val="22"/>
              </w:rPr>
            </w:pPr>
            <w:r>
              <w:rPr>
                <w:sz w:val="22"/>
              </w:rPr>
              <w:t>41.3</w:t>
            </w:r>
          </w:p>
        </w:tc>
        <w:tc>
          <w:tcPr>
            <w:tcW w:w="1336" w:type="dxa"/>
            <w:tcBorders>
              <w:top w:val="nil"/>
              <w:left w:val="nil"/>
              <w:bottom w:val="nil"/>
              <w:right w:val="nil"/>
            </w:tcBorders>
            <w:vAlign w:val="center"/>
          </w:tcPr>
          <w:p w14:paraId="087FCADA" w14:textId="77777777" w:rsidR="00472F96" w:rsidRPr="00472F96" w:rsidRDefault="00472F96" w:rsidP="00472F96">
            <w:pPr>
              <w:tabs>
                <w:tab w:val="decimal" w:pos="876"/>
              </w:tabs>
              <w:spacing w:line="240" w:lineRule="auto"/>
              <w:rPr>
                <w:sz w:val="22"/>
              </w:rPr>
            </w:pPr>
            <w:r w:rsidRPr="00472F96">
              <w:rPr>
                <w:sz w:val="22"/>
              </w:rPr>
              <w:t>923</w:t>
            </w:r>
          </w:p>
        </w:tc>
      </w:tr>
      <w:tr w:rsidR="00472F96" w:rsidRPr="00472F96" w14:paraId="31826816" w14:textId="77777777" w:rsidTr="00EC2CFC">
        <w:tc>
          <w:tcPr>
            <w:tcW w:w="2672" w:type="dxa"/>
            <w:tcBorders>
              <w:top w:val="nil"/>
              <w:left w:val="nil"/>
              <w:bottom w:val="nil"/>
              <w:right w:val="nil"/>
            </w:tcBorders>
            <w:vAlign w:val="center"/>
          </w:tcPr>
          <w:p w14:paraId="72CDC3FB" w14:textId="77777777" w:rsidR="00472F96" w:rsidRPr="00472F96" w:rsidRDefault="00472F96" w:rsidP="00472F96">
            <w:pPr>
              <w:spacing w:line="240" w:lineRule="auto"/>
              <w:rPr>
                <w:sz w:val="22"/>
                <w:u w:val="single"/>
              </w:rPr>
            </w:pPr>
          </w:p>
          <w:p w14:paraId="5AE456DD" w14:textId="77777777" w:rsidR="00472F96" w:rsidRPr="00472F96" w:rsidRDefault="00472F96" w:rsidP="00472F96">
            <w:pPr>
              <w:spacing w:line="240" w:lineRule="auto"/>
              <w:rPr>
                <w:sz w:val="22"/>
                <w:u w:val="single"/>
              </w:rPr>
            </w:pPr>
            <w:r w:rsidRPr="00472F96">
              <w:rPr>
                <w:sz w:val="22"/>
                <w:u w:val="single"/>
              </w:rPr>
              <w:t>First Generation Status</w:t>
            </w:r>
          </w:p>
          <w:p w14:paraId="04E53EAC" w14:textId="77777777" w:rsidR="00472F96" w:rsidRPr="00472F96" w:rsidRDefault="00472F96" w:rsidP="00472F96">
            <w:pPr>
              <w:spacing w:line="240" w:lineRule="auto"/>
              <w:rPr>
                <w:sz w:val="22"/>
              </w:rPr>
            </w:pPr>
            <w:r w:rsidRPr="00472F96">
              <w:rPr>
                <w:sz w:val="22"/>
              </w:rPr>
              <w:t>First Generation</w:t>
            </w:r>
          </w:p>
        </w:tc>
        <w:tc>
          <w:tcPr>
            <w:tcW w:w="1335" w:type="dxa"/>
            <w:tcBorders>
              <w:top w:val="nil"/>
              <w:left w:val="nil"/>
              <w:bottom w:val="nil"/>
              <w:right w:val="nil"/>
            </w:tcBorders>
            <w:vAlign w:val="center"/>
          </w:tcPr>
          <w:p w14:paraId="69A1EC8D" w14:textId="77777777" w:rsidR="00472F96" w:rsidRPr="00472F96" w:rsidRDefault="00472F96" w:rsidP="00472F96">
            <w:pPr>
              <w:tabs>
                <w:tab w:val="decimal" w:pos="730"/>
              </w:tabs>
              <w:spacing w:line="240" w:lineRule="auto"/>
              <w:rPr>
                <w:sz w:val="22"/>
              </w:rPr>
            </w:pPr>
          </w:p>
          <w:p w14:paraId="03FCD38A" w14:textId="77777777" w:rsidR="00472F96" w:rsidRPr="00472F96" w:rsidRDefault="00472F96" w:rsidP="00472F96">
            <w:pPr>
              <w:tabs>
                <w:tab w:val="decimal" w:pos="730"/>
              </w:tabs>
              <w:spacing w:line="240" w:lineRule="auto"/>
              <w:rPr>
                <w:sz w:val="22"/>
              </w:rPr>
            </w:pPr>
          </w:p>
          <w:p w14:paraId="154C0158" w14:textId="77777777" w:rsidR="00472F96" w:rsidRPr="00472F96" w:rsidRDefault="00472F96" w:rsidP="00472F96">
            <w:pPr>
              <w:tabs>
                <w:tab w:val="decimal" w:pos="730"/>
              </w:tabs>
              <w:spacing w:line="240" w:lineRule="auto"/>
              <w:rPr>
                <w:sz w:val="22"/>
              </w:rPr>
            </w:pPr>
            <w:r w:rsidRPr="00472F96">
              <w:rPr>
                <w:sz w:val="22"/>
              </w:rPr>
              <w:t>369</w:t>
            </w:r>
          </w:p>
        </w:tc>
        <w:tc>
          <w:tcPr>
            <w:tcW w:w="1335" w:type="dxa"/>
            <w:tcBorders>
              <w:top w:val="nil"/>
              <w:left w:val="nil"/>
              <w:bottom w:val="nil"/>
              <w:right w:val="nil"/>
            </w:tcBorders>
            <w:vAlign w:val="center"/>
          </w:tcPr>
          <w:p w14:paraId="1FDC46E4" w14:textId="77777777" w:rsidR="00472F96" w:rsidRPr="00472F96" w:rsidRDefault="00472F96" w:rsidP="00EB3070">
            <w:pPr>
              <w:tabs>
                <w:tab w:val="decimal" w:pos="563"/>
              </w:tabs>
              <w:spacing w:line="240" w:lineRule="auto"/>
              <w:rPr>
                <w:sz w:val="22"/>
              </w:rPr>
            </w:pPr>
          </w:p>
          <w:p w14:paraId="60985BF6" w14:textId="77777777" w:rsidR="00472F96" w:rsidRPr="00472F96" w:rsidRDefault="00472F96" w:rsidP="00EB3070">
            <w:pPr>
              <w:tabs>
                <w:tab w:val="decimal" w:pos="563"/>
              </w:tabs>
              <w:spacing w:line="240" w:lineRule="auto"/>
              <w:rPr>
                <w:sz w:val="22"/>
              </w:rPr>
            </w:pPr>
          </w:p>
          <w:p w14:paraId="500CE2FA" w14:textId="346C9919" w:rsidR="00472F96" w:rsidRPr="00472F96" w:rsidRDefault="00472F96" w:rsidP="00EB3070">
            <w:pPr>
              <w:tabs>
                <w:tab w:val="decimal" w:pos="563"/>
              </w:tabs>
              <w:spacing w:line="240" w:lineRule="auto"/>
              <w:rPr>
                <w:sz w:val="22"/>
              </w:rPr>
            </w:pPr>
            <w:r w:rsidRPr="00472F96">
              <w:rPr>
                <w:sz w:val="22"/>
              </w:rPr>
              <w:t>4</w:t>
            </w:r>
            <w:r w:rsidR="00EB3070">
              <w:rPr>
                <w:sz w:val="22"/>
              </w:rPr>
              <w:t>0.3</w:t>
            </w:r>
          </w:p>
        </w:tc>
        <w:tc>
          <w:tcPr>
            <w:tcW w:w="1336" w:type="dxa"/>
            <w:tcBorders>
              <w:top w:val="nil"/>
              <w:left w:val="nil"/>
              <w:bottom w:val="nil"/>
              <w:right w:val="nil"/>
            </w:tcBorders>
            <w:vAlign w:val="center"/>
          </w:tcPr>
          <w:p w14:paraId="196C7F44" w14:textId="77777777" w:rsidR="00472F96" w:rsidRPr="00472F96" w:rsidRDefault="00472F96" w:rsidP="00472F96">
            <w:pPr>
              <w:tabs>
                <w:tab w:val="decimal" w:pos="758"/>
              </w:tabs>
              <w:spacing w:line="240" w:lineRule="auto"/>
              <w:rPr>
                <w:sz w:val="22"/>
              </w:rPr>
            </w:pPr>
          </w:p>
          <w:p w14:paraId="725B2380" w14:textId="77777777" w:rsidR="00472F96" w:rsidRPr="00472F96" w:rsidRDefault="00472F96" w:rsidP="00472F96">
            <w:pPr>
              <w:tabs>
                <w:tab w:val="decimal" w:pos="758"/>
              </w:tabs>
              <w:spacing w:line="240" w:lineRule="auto"/>
              <w:rPr>
                <w:sz w:val="22"/>
              </w:rPr>
            </w:pPr>
          </w:p>
          <w:p w14:paraId="2D6DD080" w14:textId="77777777" w:rsidR="00472F96" w:rsidRPr="00472F96" w:rsidRDefault="00472F96" w:rsidP="00472F96">
            <w:pPr>
              <w:tabs>
                <w:tab w:val="decimal" w:pos="758"/>
              </w:tabs>
              <w:spacing w:line="240" w:lineRule="auto"/>
              <w:rPr>
                <w:sz w:val="22"/>
              </w:rPr>
            </w:pPr>
            <w:r w:rsidRPr="00472F96">
              <w:rPr>
                <w:sz w:val="22"/>
              </w:rPr>
              <w:t>513</w:t>
            </w:r>
          </w:p>
        </w:tc>
        <w:tc>
          <w:tcPr>
            <w:tcW w:w="1336" w:type="dxa"/>
            <w:tcBorders>
              <w:top w:val="nil"/>
              <w:left w:val="nil"/>
              <w:bottom w:val="nil"/>
              <w:right w:val="nil"/>
            </w:tcBorders>
            <w:vAlign w:val="center"/>
          </w:tcPr>
          <w:p w14:paraId="68E480A9" w14:textId="77777777" w:rsidR="00472F96" w:rsidRPr="00472F96" w:rsidRDefault="00472F96" w:rsidP="00EB3070">
            <w:pPr>
              <w:tabs>
                <w:tab w:val="decimal" w:pos="595"/>
              </w:tabs>
              <w:spacing w:line="240" w:lineRule="auto"/>
              <w:rPr>
                <w:sz w:val="22"/>
              </w:rPr>
            </w:pPr>
          </w:p>
          <w:p w14:paraId="2128BC26" w14:textId="77777777" w:rsidR="00472F96" w:rsidRPr="00472F96" w:rsidRDefault="00472F96" w:rsidP="00EB3070">
            <w:pPr>
              <w:tabs>
                <w:tab w:val="decimal" w:pos="595"/>
              </w:tabs>
              <w:spacing w:line="240" w:lineRule="auto"/>
              <w:rPr>
                <w:sz w:val="22"/>
              </w:rPr>
            </w:pPr>
          </w:p>
          <w:p w14:paraId="32C6AEBC" w14:textId="294F3A96" w:rsidR="00472F96" w:rsidRPr="00472F96" w:rsidRDefault="00EB3070" w:rsidP="00EB3070">
            <w:pPr>
              <w:tabs>
                <w:tab w:val="decimal" w:pos="595"/>
              </w:tabs>
              <w:spacing w:line="240" w:lineRule="auto"/>
              <w:rPr>
                <w:sz w:val="22"/>
              </w:rPr>
            </w:pPr>
            <w:r>
              <w:rPr>
                <w:sz w:val="22"/>
              </w:rPr>
              <w:t>44.1</w:t>
            </w:r>
          </w:p>
        </w:tc>
        <w:tc>
          <w:tcPr>
            <w:tcW w:w="1336" w:type="dxa"/>
            <w:tcBorders>
              <w:top w:val="nil"/>
              <w:left w:val="nil"/>
              <w:bottom w:val="nil"/>
              <w:right w:val="nil"/>
            </w:tcBorders>
            <w:vAlign w:val="center"/>
          </w:tcPr>
          <w:p w14:paraId="0B2A2D3B" w14:textId="77777777" w:rsidR="00472F96" w:rsidRPr="00472F96" w:rsidRDefault="00472F96" w:rsidP="00472F96">
            <w:pPr>
              <w:tabs>
                <w:tab w:val="decimal" w:pos="876"/>
              </w:tabs>
              <w:spacing w:line="240" w:lineRule="auto"/>
              <w:rPr>
                <w:sz w:val="22"/>
              </w:rPr>
            </w:pPr>
          </w:p>
          <w:p w14:paraId="6C15D61F" w14:textId="77777777" w:rsidR="00472F96" w:rsidRPr="00472F96" w:rsidRDefault="00472F96" w:rsidP="00472F96">
            <w:pPr>
              <w:tabs>
                <w:tab w:val="decimal" w:pos="876"/>
              </w:tabs>
              <w:spacing w:line="240" w:lineRule="auto"/>
              <w:rPr>
                <w:sz w:val="22"/>
              </w:rPr>
            </w:pPr>
          </w:p>
          <w:p w14:paraId="1CC44B1D" w14:textId="77777777" w:rsidR="00472F96" w:rsidRPr="00472F96" w:rsidRDefault="00472F96" w:rsidP="00472F96">
            <w:pPr>
              <w:tabs>
                <w:tab w:val="decimal" w:pos="876"/>
              </w:tabs>
              <w:spacing w:line="240" w:lineRule="auto"/>
              <w:rPr>
                <w:sz w:val="22"/>
              </w:rPr>
            </w:pPr>
            <w:r w:rsidRPr="00472F96">
              <w:rPr>
                <w:sz w:val="22"/>
              </w:rPr>
              <w:t>882</w:t>
            </w:r>
          </w:p>
        </w:tc>
      </w:tr>
      <w:tr w:rsidR="00472F96" w:rsidRPr="00472F96" w14:paraId="65A92F2F" w14:textId="77777777" w:rsidTr="00EC2CFC">
        <w:tc>
          <w:tcPr>
            <w:tcW w:w="2672" w:type="dxa"/>
            <w:tcBorders>
              <w:top w:val="nil"/>
              <w:left w:val="nil"/>
              <w:bottom w:val="single" w:sz="4" w:space="0" w:color="auto"/>
              <w:right w:val="nil"/>
            </w:tcBorders>
            <w:vAlign w:val="center"/>
          </w:tcPr>
          <w:p w14:paraId="72DFD195" w14:textId="77777777" w:rsidR="00472F96" w:rsidRPr="00472F96" w:rsidRDefault="00472F96" w:rsidP="00472F96">
            <w:pPr>
              <w:spacing w:line="240" w:lineRule="auto"/>
              <w:rPr>
                <w:sz w:val="22"/>
              </w:rPr>
            </w:pPr>
            <w:r w:rsidRPr="00472F96">
              <w:rPr>
                <w:sz w:val="22"/>
              </w:rPr>
              <w:t>Non-First Generation</w:t>
            </w:r>
          </w:p>
        </w:tc>
        <w:tc>
          <w:tcPr>
            <w:tcW w:w="1335" w:type="dxa"/>
            <w:tcBorders>
              <w:top w:val="nil"/>
              <w:left w:val="nil"/>
              <w:bottom w:val="single" w:sz="4" w:space="0" w:color="auto"/>
              <w:right w:val="nil"/>
            </w:tcBorders>
            <w:vAlign w:val="center"/>
          </w:tcPr>
          <w:p w14:paraId="0F7826CF" w14:textId="77777777" w:rsidR="00472F96" w:rsidRPr="00472F96" w:rsidRDefault="00472F96" w:rsidP="00472F96">
            <w:pPr>
              <w:tabs>
                <w:tab w:val="decimal" w:pos="730"/>
              </w:tabs>
              <w:spacing w:line="240" w:lineRule="auto"/>
              <w:rPr>
                <w:sz w:val="22"/>
              </w:rPr>
            </w:pPr>
            <w:r w:rsidRPr="00472F96">
              <w:rPr>
                <w:sz w:val="22"/>
              </w:rPr>
              <w:t>547</w:t>
            </w:r>
          </w:p>
        </w:tc>
        <w:tc>
          <w:tcPr>
            <w:tcW w:w="1335" w:type="dxa"/>
            <w:tcBorders>
              <w:top w:val="nil"/>
              <w:left w:val="nil"/>
              <w:bottom w:val="single" w:sz="4" w:space="0" w:color="auto"/>
              <w:right w:val="nil"/>
            </w:tcBorders>
            <w:vAlign w:val="center"/>
          </w:tcPr>
          <w:p w14:paraId="0F759969" w14:textId="04D79D4E" w:rsidR="00472F96" w:rsidRPr="00472F96" w:rsidRDefault="00EB3070" w:rsidP="00EB3070">
            <w:pPr>
              <w:tabs>
                <w:tab w:val="decimal" w:pos="563"/>
              </w:tabs>
              <w:spacing w:line="240" w:lineRule="auto"/>
              <w:rPr>
                <w:sz w:val="22"/>
              </w:rPr>
            </w:pPr>
            <w:r>
              <w:rPr>
                <w:sz w:val="22"/>
              </w:rPr>
              <w:t>59.7</w:t>
            </w:r>
          </w:p>
        </w:tc>
        <w:tc>
          <w:tcPr>
            <w:tcW w:w="1336" w:type="dxa"/>
            <w:tcBorders>
              <w:top w:val="nil"/>
              <w:left w:val="nil"/>
              <w:bottom w:val="single" w:sz="4" w:space="0" w:color="auto"/>
              <w:right w:val="nil"/>
            </w:tcBorders>
            <w:vAlign w:val="center"/>
          </w:tcPr>
          <w:p w14:paraId="2D8B0C31" w14:textId="77777777" w:rsidR="00472F96" w:rsidRPr="00472F96" w:rsidRDefault="00472F96" w:rsidP="00472F96">
            <w:pPr>
              <w:tabs>
                <w:tab w:val="decimal" w:pos="758"/>
              </w:tabs>
              <w:spacing w:line="240" w:lineRule="auto"/>
              <w:rPr>
                <w:sz w:val="22"/>
              </w:rPr>
            </w:pPr>
            <w:r w:rsidRPr="00472F96">
              <w:rPr>
                <w:sz w:val="22"/>
              </w:rPr>
              <w:t>649</w:t>
            </w:r>
          </w:p>
        </w:tc>
        <w:tc>
          <w:tcPr>
            <w:tcW w:w="1336" w:type="dxa"/>
            <w:tcBorders>
              <w:top w:val="nil"/>
              <w:left w:val="nil"/>
              <w:bottom w:val="single" w:sz="4" w:space="0" w:color="auto"/>
              <w:right w:val="nil"/>
            </w:tcBorders>
            <w:vAlign w:val="center"/>
          </w:tcPr>
          <w:p w14:paraId="4A5F6C5F" w14:textId="4B46E33E" w:rsidR="00472F96" w:rsidRPr="00472F96" w:rsidRDefault="00472F96" w:rsidP="00EB3070">
            <w:pPr>
              <w:tabs>
                <w:tab w:val="decimal" w:pos="595"/>
              </w:tabs>
              <w:spacing w:line="240" w:lineRule="auto"/>
              <w:rPr>
                <w:sz w:val="22"/>
              </w:rPr>
            </w:pPr>
            <w:r w:rsidRPr="00472F96">
              <w:rPr>
                <w:sz w:val="22"/>
              </w:rPr>
              <w:t>5</w:t>
            </w:r>
            <w:r w:rsidR="00EB3070">
              <w:rPr>
                <w:sz w:val="22"/>
              </w:rPr>
              <w:t>5.9</w:t>
            </w:r>
          </w:p>
        </w:tc>
        <w:tc>
          <w:tcPr>
            <w:tcW w:w="1336" w:type="dxa"/>
            <w:tcBorders>
              <w:top w:val="nil"/>
              <w:left w:val="nil"/>
              <w:bottom w:val="single" w:sz="4" w:space="0" w:color="auto"/>
              <w:right w:val="nil"/>
            </w:tcBorders>
            <w:vAlign w:val="center"/>
          </w:tcPr>
          <w:p w14:paraId="49CD57AC" w14:textId="77777777" w:rsidR="00472F96" w:rsidRPr="00472F96" w:rsidRDefault="00472F96" w:rsidP="00472F96">
            <w:pPr>
              <w:tabs>
                <w:tab w:val="decimal" w:pos="876"/>
              </w:tabs>
              <w:spacing w:line="240" w:lineRule="auto"/>
              <w:rPr>
                <w:sz w:val="22"/>
              </w:rPr>
            </w:pPr>
            <w:r w:rsidRPr="00472F96">
              <w:rPr>
                <w:sz w:val="22"/>
              </w:rPr>
              <w:t>1196</w:t>
            </w:r>
          </w:p>
        </w:tc>
      </w:tr>
    </w:tbl>
    <w:p w14:paraId="0FA596E1" w14:textId="32C5DBF7" w:rsidR="0055022F" w:rsidRPr="003A7B51" w:rsidRDefault="0055022F" w:rsidP="0055022F">
      <w:pPr>
        <w:rPr>
          <w:color w:val="FFFFFF" w:themeColor="background1"/>
        </w:rPr>
      </w:pPr>
      <w:bookmarkStart w:id="67" w:name="_Toc224458928"/>
      <w:r w:rsidRPr="003A7B51">
        <w:rPr>
          <w:color w:val="FFFFFF" w:themeColor="background1"/>
        </w:rPr>
        <w:t xml:space="preserve">Table </w:t>
      </w:r>
      <w:r w:rsidRPr="003A7B51">
        <w:rPr>
          <w:color w:val="FFFFFF" w:themeColor="background1"/>
        </w:rPr>
        <w:fldChar w:fldCharType="begin"/>
      </w:r>
      <w:r w:rsidRPr="003A7B51">
        <w:rPr>
          <w:color w:val="FFFFFF" w:themeColor="background1"/>
        </w:rPr>
        <w:instrText xml:space="preserve"> SEQ Table \* ARABIC </w:instrText>
      </w:r>
      <w:r w:rsidRPr="003A7B51">
        <w:rPr>
          <w:color w:val="FFFFFF" w:themeColor="background1"/>
        </w:rPr>
        <w:fldChar w:fldCharType="separate"/>
      </w:r>
      <w:r w:rsidR="00B4126D">
        <w:rPr>
          <w:noProof/>
          <w:color w:val="FFFFFF" w:themeColor="background1"/>
        </w:rPr>
        <w:t>1</w:t>
      </w:r>
      <w:r w:rsidRPr="003A7B51">
        <w:rPr>
          <w:color w:val="FFFFFF" w:themeColor="background1"/>
        </w:rPr>
        <w:fldChar w:fldCharType="end"/>
      </w:r>
      <w:r w:rsidRPr="003A7B51">
        <w:rPr>
          <w:color w:val="FFFFFF" w:themeColor="background1"/>
        </w:rPr>
        <w:t>. Characteristics of Study Population by Dual Enrollment Status</w:t>
      </w:r>
      <w:bookmarkEnd w:id="67"/>
    </w:p>
    <w:p w14:paraId="348ACD55" w14:textId="77777777" w:rsidR="00C310B1" w:rsidRDefault="00C310B1" w:rsidP="00C310B1">
      <w:pPr>
        <w:rPr>
          <w:b/>
        </w:rPr>
      </w:pPr>
    </w:p>
    <w:p w14:paraId="6C84C918" w14:textId="77777777" w:rsidR="00C310B1" w:rsidRDefault="00C310B1" w:rsidP="00C310B1">
      <w:pPr>
        <w:rPr>
          <w:b/>
        </w:rPr>
      </w:pPr>
    </w:p>
    <w:p w14:paraId="6633B1D7" w14:textId="4BF40C32" w:rsidR="00C310B1" w:rsidRPr="00C310B1" w:rsidRDefault="00C310B1" w:rsidP="00C310B1">
      <w:pPr>
        <w:pStyle w:val="Heading3"/>
      </w:pPr>
      <w:bookmarkStart w:id="68" w:name="_Toc224458909"/>
      <w:r w:rsidRPr="00C310B1">
        <w:lastRenderedPageBreak/>
        <w:t>Dual Enrollment Analysis</w:t>
      </w:r>
      <w:bookmarkEnd w:id="68"/>
      <w:r w:rsidRPr="00C310B1">
        <w:tab/>
      </w:r>
    </w:p>
    <w:p w14:paraId="01F4C81E" w14:textId="1E4E54AD" w:rsidR="0055022F" w:rsidRPr="00C310B1" w:rsidRDefault="00C310B1" w:rsidP="00C310B1">
      <w:pPr>
        <w:ind w:firstLine="720"/>
        <w:rPr>
          <w:rFonts w:cs="Times New Roman"/>
        </w:rPr>
      </w:pPr>
      <w:r w:rsidRPr="00C310B1">
        <w:rPr>
          <w:rFonts w:cs="Times New Roman"/>
        </w:rPr>
        <w:t xml:space="preserve">The raw data indicated a few interesting facts about dual enrollment students. Female high school students (62%) were almost twice as likely to participate in </w:t>
      </w:r>
      <w:r w:rsidR="00677F84" w:rsidRPr="00C310B1">
        <w:rPr>
          <w:rFonts w:cs="Times New Roman"/>
        </w:rPr>
        <w:t>dual</w:t>
      </w:r>
      <w:r w:rsidRPr="00C310B1">
        <w:rPr>
          <w:rFonts w:cs="Times New Roman"/>
        </w:rPr>
        <w:t xml:space="preserve"> enrollment than male students (38%). Dual enrollment students were overwhelmingly White (93%). This is not surprising because the service area for the participating community college has a similar racial make-up. Non-SPARC students were almost three times more likely to participate in dual enrollment than SPARC students (73% to 27%). Pell eligible students (52%) and non-Pell eligible students (48%) had similar participation rates in dual enrollment. Finally, non-first-generation college students were more likely to participate (60%) in dual enrollment than first generation college students (40%). </w:t>
      </w:r>
    </w:p>
    <w:p w14:paraId="77841A09" w14:textId="0CE3D3B0" w:rsidR="00F53D48" w:rsidRPr="00F53D48" w:rsidRDefault="00F53D48" w:rsidP="00F53D48">
      <w:pPr>
        <w:pStyle w:val="Heading3"/>
        <w:rPr>
          <w:rFonts w:cs="Times New Roman"/>
        </w:rPr>
      </w:pPr>
      <w:bookmarkStart w:id="69" w:name="_Toc224458910"/>
      <w:r>
        <w:rPr>
          <w:rFonts w:cs="Times New Roman"/>
        </w:rPr>
        <w:t>Research Question 1</w:t>
      </w:r>
      <w:bookmarkEnd w:id="69"/>
    </w:p>
    <w:p w14:paraId="51846032" w14:textId="735876FE" w:rsidR="00D84B90" w:rsidRPr="00C56BD9" w:rsidRDefault="00D84B90" w:rsidP="00D84B90">
      <w:pPr>
        <w:ind w:firstLine="720"/>
        <w:rPr>
          <w:rFonts w:cs="Times New Roman"/>
        </w:rPr>
      </w:pPr>
      <w:r w:rsidRPr="009C1AA0">
        <w:rPr>
          <w:rFonts w:cs="Times New Roman"/>
          <w:color w:val="000000" w:themeColor="text1"/>
          <w:szCs w:val="24"/>
        </w:rPr>
        <w:t xml:space="preserve">RQ1: </w:t>
      </w:r>
      <w:r w:rsidRPr="009C1AA0">
        <w:rPr>
          <w:rFonts w:cs="Times New Roman"/>
        </w:rPr>
        <w:t>For first-time, full-time, community college students, is there a significant relationship between graduating</w:t>
      </w:r>
      <w:r w:rsidR="0005081F" w:rsidRPr="009C1AA0">
        <w:rPr>
          <w:rFonts w:cs="Times New Roman"/>
        </w:rPr>
        <w:t xml:space="preserve"> </w:t>
      </w:r>
      <w:r w:rsidRPr="009C1AA0">
        <w:rPr>
          <w:rFonts w:cs="Times New Roman"/>
        </w:rPr>
        <w:t>within 3 years</w:t>
      </w:r>
      <w:r w:rsidR="00AD26E7" w:rsidRPr="009C1AA0">
        <w:rPr>
          <w:rFonts w:cs="Times New Roman"/>
        </w:rPr>
        <w:t xml:space="preserve"> (150%</w:t>
      </w:r>
      <w:r w:rsidRPr="009C1AA0">
        <w:rPr>
          <w:rFonts w:cs="Times New Roman"/>
        </w:rPr>
        <w:t>) and completing at least one dual enrollment course in high school?</w:t>
      </w:r>
    </w:p>
    <w:p w14:paraId="5E6B5047" w14:textId="385FFB6E" w:rsidR="00D84B90" w:rsidRPr="00C56BD9" w:rsidRDefault="00D84B90" w:rsidP="00D84B90">
      <w:pPr>
        <w:ind w:firstLine="720"/>
        <w:rPr>
          <w:rFonts w:cs="Times New Roman"/>
        </w:rPr>
      </w:pPr>
      <w:r w:rsidRPr="00A866B8">
        <w:rPr>
          <w:rFonts w:cs="Times New Roman"/>
          <w:color w:val="000000" w:themeColor="text1"/>
          <w:szCs w:val="24"/>
        </w:rPr>
        <w:t>H</w:t>
      </w:r>
      <w:r w:rsidRPr="00A866B8">
        <w:rPr>
          <w:rFonts w:cs="Times New Roman"/>
          <w:color w:val="000000" w:themeColor="text1"/>
          <w:szCs w:val="24"/>
          <w:vertAlign w:val="subscript"/>
        </w:rPr>
        <w:t>o</w:t>
      </w:r>
      <w:r w:rsidRPr="00A866B8">
        <w:rPr>
          <w:rFonts w:cs="Times New Roman"/>
          <w:color w:val="000000" w:themeColor="text1"/>
          <w:szCs w:val="24"/>
        </w:rPr>
        <w:t xml:space="preserve">1: There is no significant difference </w:t>
      </w:r>
      <w:r>
        <w:rPr>
          <w:rFonts w:cs="Times New Roman"/>
        </w:rPr>
        <w:t>f</w:t>
      </w:r>
      <w:r w:rsidRPr="00AF65A3">
        <w:rPr>
          <w:rFonts w:cs="Times New Roman"/>
        </w:rPr>
        <w:t>or first-time, full-time</w:t>
      </w:r>
      <w:r>
        <w:rPr>
          <w:rFonts w:cs="Times New Roman"/>
        </w:rPr>
        <w:t xml:space="preserve">, </w:t>
      </w:r>
      <w:r w:rsidRPr="00AF65A3">
        <w:rPr>
          <w:rFonts w:cs="Times New Roman"/>
        </w:rPr>
        <w:t>community college students</w:t>
      </w:r>
      <w:r>
        <w:rPr>
          <w:rFonts w:cs="Times New Roman"/>
        </w:rPr>
        <w:t xml:space="preserve"> </w:t>
      </w:r>
      <w:r w:rsidR="00AD26E7">
        <w:rPr>
          <w:rFonts w:cs="Times New Roman"/>
        </w:rPr>
        <w:t xml:space="preserve">graduating within </w:t>
      </w:r>
      <w:r w:rsidR="00AD26E7" w:rsidRPr="00AF65A3">
        <w:rPr>
          <w:rFonts w:cs="Times New Roman"/>
        </w:rPr>
        <w:t>3</w:t>
      </w:r>
      <w:r w:rsidR="00AD26E7">
        <w:rPr>
          <w:rFonts w:cs="Times New Roman"/>
        </w:rPr>
        <w:t xml:space="preserve"> </w:t>
      </w:r>
      <w:r w:rsidR="00AD26E7" w:rsidRPr="00AF65A3">
        <w:rPr>
          <w:rFonts w:cs="Times New Roman"/>
        </w:rPr>
        <w:t>year</w:t>
      </w:r>
      <w:r w:rsidR="00AD26E7">
        <w:rPr>
          <w:rFonts w:cs="Times New Roman"/>
        </w:rPr>
        <w:t xml:space="preserve">s (150%) </w:t>
      </w:r>
      <w:r>
        <w:rPr>
          <w:rFonts w:cs="Times New Roman"/>
        </w:rPr>
        <w:t>and completing</w:t>
      </w:r>
      <w:r w:rsidRPr="00AF65A3">
        <w:rPr>
          <w:rFonts w:cs="Times New Roman"/>
        </w:rPr>
        <w:t xml:space="preserve"> at least one dual</w:t>
      </w:r>
      <w:r>
        <w:rPr>
          <w:rFonts w:cs="Times New Roman"/>
        </w:rPr>
        <w:t xml:space="preserve"> </w:t>
      </w:r>
      <w:r w:rsidRPr="00AF65A3">
        <w:rPr>
          <w:rFonts w:cs="Times New Roman"/>
        </w:rPr>
        <w:t>enrollment course in high school</w:t>
      </w:r>
      <w:r>
        <w:rPr>
          <w:rFonts w:cs="Times New Roman"/>
        </w:rPr>
        <w:t>.</w:t>
      </w:r>
    </w:p>
    <w:p w14:paraId="6A37C04E" w14:textId="709FAB3C" w:rsidR="00ED7087" w:rsidRDefault="00D84B90" w:rsidP="00DF36F1">
      <w:pPr>
        <w:spacing w:after="160"/>
        <w:ind w:firstLine="720"/>
        <w:rPr>
          <w:rFonts w:cs="Times New Roman"/>
          <w:szCs w:val="24"/>
        </w:rPr>
      </w:pPr>
      <w:r>
        <w:rPr>
          <w:rFonts w:cs="Times New Roman"/>
          <w:color w:val="000000" w:themeColor="text1"/>
          <w:spacing w:val="3"/>
          <w:szCs w:val="24"/>
        </w:rPr>
        <w:t xml:space="preserve">A </w:t>
      </w:r>
      <w:r w:rsidR="001230E3">
        <w:rPr>
          <w:rFonts w:cs="Times New Roman"/>
          <w:color w:val="000000" w:themeColor="text1"/>
          <w:spacing w:val="3"/>
          <w:szCs w:val="24"/>
        </w:rPr>
        <w:t>two-way contingency table</w:t>
      </w:r>
      <w:r>
        <w:rPr>
          <w:rFonts w:cs="Times New Roman"/>
          <w:color w:val="000000" w:themeColor="text1"/>
          <w:spacing w:val="3"/>
          <w:szCs w:val="24"/>
        </w:rPr>
        <w:t xml:space="preserve"> analysis was conducted to evaluate</w:t>
      </w:r>
      <w:r w:rsidR="00193C8F">
        <w:rPr>
          <w:rFonts w:cs="Times New Roman"/>
          <w:color w:val="000000" w:themeColor="text1"/>
          <w:spacing w:val="3"/>
          <w:szCs w:val="24"/>
        </w:rPr>
        <w:t xml:space="preserve"> whether there was a significant </w:t>
      </w:r>
      <w:r w:rsidR="001230E3">
        <w:rPr>
          <w:rFonts w:cs="Times New Roman"/>
          <w:color w:val="000000" w:themeColor="text1"/>
          <w:spacing w:val="3"/>
          <w:szCs w:val="24"/>
        </w:rPr>
        <w:t>relationship</w:t>
      </w:r>
      <w:r w:rsidR="00193C8F">
        <w:rPr>
          <w:rFonts w:cs="Times New Roman"/>
          <w:color w:val="000000" w:themeColor="text1"/>
          <w:spacing w:val="3"/>
          <w:szCs w:val="24"/>
        </w:rPr>
        <w:t xml:space="preserve"> between </w:t>
      </w:r>
      <w:r w:rsidR="001230E3">
        <w:rPr>
          <w:rFonts w:cs="Times New Roman"/>
          <w:color w:val="000000" w:themeColor="text1"/>
          <w:spacing w:val="3"/>
          <w:szCs w:val="24"/>
        </w:rPr>
        <w:t xml:space="preserve">dual enrollment participation of </w:t>
      </w:r>
      <w:r w:rsidR="001230E3" w:rsidRPr="00AF65A3">
        <w:rPr>
          <w:rFonts w:cs="Times New Roman"/>
        </w:rPr>
        <w:t>first-time, full-time</w:t>
      </w:r>
      <w:r w:rsidR="001230E3">
        <w:rPr>
          <w:rFonts w:cs="Times New Roman"/>
        </w:rPr>
        <w:t xml:space="preserve">, </w:t>
      </w:r>
      <w:r w:rsidR="001230E3" w:rsidRPr="00AF65A3">
        <w:rPr>
          <w:rFonts w:cs="Times New Roman"/>
        </w:rPr>
        <w:t>community college students</w:t>
      </w:r>
      <w:r w:rsidR="001230E3">
        <w:rPr>
          <w:rFonts w:cs="Times New Roman"/>
        </w:rPr>
        <w:t xml:space="preserve"> and </w:t>
      </w:r>
      <w:r w:rsidR="00AD26E7">
        <w:rPr>
          <w:rFonts w:cs="Times New Roman"/>
        </w:rPr>
        <w:t xml:space="preserve">graduating within </w:t>
      </w:r>
      <w:r w:rsidR="00AD26E7" w:rsidRPr="00AF65A3">
        <w:rPr>
          <w:rFonts w:cs="Times New Roman"/>
        </w:rPr>
        <w:t>3</w:t>
      </w:r>
      <w:r w:rsidR="00AD26E7">
        <w:rPr>
          <w:rFonts w:cs="Times New Roman"/>
        </w:rPr>
        <w:t xml:space="preserve"> </w:t>
      </w:r>
      <w:r w:rsidR="00AD26E7" w:rsidRPr="00AF65A3">
        <w:rPr>
          <w:rFonts w:cs="Times New Roman"/>
        </w:rPr>
        <w:t>year</w:t>
      </w:r>
      <w:r w:rsidR="00AD26E7">
        <w:rPr>
          <w:rFonts w:cs="Times New Roman"/>
        </w:rPr>
        <w:t>s (150%)</w:t>
      </w:r>
      <w:r w:rsidR="001230E3">
        <w:rPr>
          <w:rFonts w:cs="Times New Roman"/>
        </w:rPr>
        <w:t xml:space="preserve">. The two variables were </w:t>
      </w:r>
      <w:r w:rsidR="00F37C40">
        <w:rPr>
          <w:rFonts w:cs="Times New Roman"/>
        </w:rPr>
        <w:t xml:space="preserve">dual enrollment (no and yes) and graduate (no and yes). Dual enrollment and graduation within three years were found to be significantly related, Pearson </w:t>
      </w:r>
      <w:r w:rsidR="00F37C40" w:rsidRPr="00E52AAD">
        <w:rPr>
          <w:rFonts w:cs="Times New Roman"/>
          <w:szCs w:val="24"/>
        </w:rPr>
        <w:t>χ</w:t>
      </w:r>
      <w:r w:rsidR="00F37C40" w:rsidRPr="00E52AAD">
        <w:rPr>
          <w:rFonts w:cs="Times New Roman"/>
          <w:szCs w:val="24"/>
          <w:vertAlign w:val="superscript"/>
        </w:rPr>
        <w:t>2</w:t>
      </w:r>
      <w:r w:rsidR="00F37C40">
        <w:rPr>
          <w:rFonts w:cs="Times New Roman"/>
          <w:color w:val="000000" w:themeColor="text1"/>
          <w:spacing w:val="3"/>
          <w:szCs w:val="24"/>
        </w:rPr>
        <w:t>(1, N</w:t>
      </w:r>
      <w:r w:rsidR="00AD26E7">
        <w:rPr>
          <w:rFonts w:cs="Times New Roman"/>
          <w:color w:val="000000" w:themeColor="text1"/>
          <w:spacing w:val="3"/>
          <w:szCs w:val="24"/>
        </w:rPr>
        <w:t xml:space="preserve"> </w:t>
      </w:r>
      <w:r w:rsidR="00F37C40">
        <w:rPr>
          <w:rFonts w:cs="Times New Roman"/>
          <w:color w:val="000000" w:themeColor="text1"/>
          <w:spacing w:val="3"/>
          <w:szCs w:val="24"/>
        </w:rPr>
        <w:t>=</w:t>
      </w:r>
      <w:r w:rsidR="00AD26E7">
        <w:rPr>
          <w:rFonts w:cs="Times New Roman"/>
          <w:color w:val="000000" w:themeColor="text1"/>
          <w:spacing w:val="3"/>
          <w:szCs w:val="24"/>
        </w:rPr>
        <w:t xml:space="preserve"> </w:t>
      </w:r>
      <w:r w:rsidR="00F37C40">
        <w:rPr>
          <w:rFonts w:cs="Times New Roman"/>
          <w:color w:val="000000" w:themeColor="text1"/>
          <w:spacing w:val="3"/>
          <w:szCs w:val="24"/>
        </w:rPr>
        <w:t xml:space="preserve">2078) = 17.67, p </w:t>
      </w:r>
      <w:r w:rsidR="00F37C40" w:rsidRPr="00E52AAD">
        <w:rPr>
          <w:rFonts w:cs="Times New Roman"/>
          <w:szCs w:val="24"/>
        </w:rPr>
        <w:t>&lt; .001</w:t>
      </w:r>
      <w:r w:rsidR="00F37C40">
        <w:rPr>
          <w:rFonts w:cs="Times New Roman"/>
          <w:szCs w:val="24"/>
        </w:rPr>
        <w:t>, Cramer’s V = .09. Therefore, the null hypothesis</w:t>
      </w:r>
      <w:r w:rsidR="009B4265">
        <w:rPr>
          <w:rFonts w:cs="Times New Roman"/>
          <w:szCs w:val="24"/>
        </w:rPr>
        <w:t xml:space="preserve"> </w:t>
      </w:r>
      <w:r w:rsidR="009B4265" w:rsidRPr="00A866B8">
        <w:rPr>
          <w:rFonts w:cs="Times New Roman"/>
          <w:color w:val="000000" w:themeColor="text1"/>
          <w:szCs w:val="24"/>
        </w:rPr>
        <w:t>H</w:t>
      </w:r>
      <w:r w:rsidR="009B4265" w:rsidRPr="00A866B8">
        <w:rPr>
          <w:rFonts w:cs="Times New Roman"/>
          <w:color w:val="000000" w:themeColor="text1"/>
          <w:szCs w:val="24"/>
          <w:vertAlign w:val="subscript"/>
        </w:rPr>
        <w:t>o</w:t>
      </w:r>
      <w:r w:rsidR="009B4265" w:rsidRPr="00A866B8">
        <w:rPr>
          <w:rFonts w:cs="Times New Roman"/>
          <w:color w:val="000000" w:themeColor="text1"/>
          <w:szCs w:val="24"/>
        </w:rPr>
        <w:t>1</w:t>
      </w:r>
      <w:r w:rsidR="00F37C40">
        <w:rPr>
          <w:rFonts w:cs="Times New Roman"/>
          <w:szCs w:val="24"/>
        </w:rPr>
        <w:t xml:space="preserve"> was rejected. </w:t>
      </w:r>
      <w:r w:rsidR="002124D8">
        <w:rPr>
          <w:rFonts w:cs="Times New Roman"/>
          <w:szCs w:val="24"/>
        </w:rPr>
        <w:t xml:space="preserve">In general, the results suggest </w:t>
      </w:r>
      <w:r w:rsidR="002124D8">
        <w:rPr>
          <w:rFonts w:cs="Times New Roman"/>
          <w:szCs w:val="24"/>
        </w:rPr>
        <w:lastRenderedPageBreak/>
        <w:t>that s</w:t>
      </w:r>
      <w:r w:rsidR="00F37C40">
        <w:rPr>
          <w:rFonts w:cs="Times New Roman"/>
          <w:szCs w:val="24"/>
        </w:rPr>
        <w:t xml:space="preserve">tudents who took dual enrollment were significantly more likely to graduate within 3 years than those who did not take dual enrollment. </w:t>
      </w:r>
      <w:bookmarkStart w:id="70" w:name="_Hlk221565824"/>
      <w:r w:rsidR="00F53D48">
        <w:rPr>
          <w:rFonts w:cs="Times New Roman"/>
          <w:szCs w:val="24"/>
        </w:rPr>
        <w:t>See Figure 1</w:t>
      </w:r>
      <w:r w:rsidR="00D74B5F">
        <w:rPr>
          <w:rFonts w:cs="Times New Roman"/>
          <w:szCs w:val="24"/>
        </w:rPr>
        <w:t xml:space="preserve"> and Table 2</w:t>
      </w:r>
      <w:r w:rsidR="00F37C40">
        <w:rPr>
          <w:rFonts w:cs="Times New Roman"/>
          <w:szCs w:val="24"/>
        </w:rPr>
        <w:t xml:space="preserve"> </w:t>
      </w:r>
      <w:r w:rsidR="00F53D48">
        <w:rPr>
          <w:rFonts w:cs="Times New Roman"/>
          <w:szCs w:val="24"/>
        </w:rPr>
        <w:t xml:space="preserve">for visual representation of this finding. </w:t>
      </w:r>
      <w:bookmarkEnd w:id="70"/>
    </w:p>
    <w:p w14:paraId="47E3B822" w14:textId="6987A531" w:rsidR="00F53D48" w:rsidRPr="00C534AC" w:rsidRDefault="00F53D48" w:rsidP="00C534AC">
      <w:pPr>
        <w:rPr>
          <w:b/>
          <w:bCs/>
        </w:rPr>
      </w:pPr>
      <w:r w:rsidRPr="00C534AC">
        <w:rPr>
          <w:b/>
          <w:bCs/>
        </w:rPr>
        <w:t>Figure 1</w:t>
      </w:r>
    </w:p>
    <w:p w14:paraId="13D92BC9" w14:textId="56B4ED04" w:rsidR="00D653BB" w:rsidRPr="00D653BB" w:rsidRDefault="00D653BB" w:rsidP="00D653BB">
      <w:pPr>
        <w:rPr>
          <w:i/>
          <w:iCs/>
        </w:rPr>
      </w:pPr>
      <w:r>
        <w:rPr>
          <w:i/>
          <w:iCs/>
        </w:rPr>
        <w:t>Graduat</w:t>
      </w:r>
      <w:r w:rsidR="00C35042">
        <w:rPr>
          <w:i/>
          <w:iCs/>
        </w:rPr>
        <w:t>es</w:t>
      </w:r>
      <w:r>
        <w:rPr>
          <w:i/>
          <w:iCs/>
        </w:rPr>
        <w:t xml:space="preserve"> by Dual Enrollment Status</w:t>
      </w:r>
    </w:p>
    <w:p w14:paraId="1FF5D867" w14:textId="0723A267" w:rsidR="00D74B5F" w:rsidRDefault="00C76F40" w:rsidP="003744D2">
      <w:pPr>
        <w:autoSpaceDE w:val="0"/>
        <w:autoSpaceDN w:val="0"/>
        <w:adjustRightInd w:val="0"/>
        <w:spacing w:line="240" w:lineRule="auto"/>
        <w:rPr>
          <w:rFonts w:cs="Times New Roman"/>
          <w:szCs w:val="24"/>
        </w:rPr>
      </w:pPr>
      <w:r>
        <w:rPr>
          <w:rFonts w:cs="Times New Roman"/>
          <w:noProof/>
          <w:szCs w:val="24"/>
        </w:rPr>
        <w:drawing>
          <wp:inline distT="0" distB="0" distL="0" distR="0" wp14:anchorId="6198CBBB" wp14:editId="799999F7">
            <wp:extent cx="5943600" cy="3492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2500"/>
                    </a:xfrm>
                    <a:prstGeom prst="rect">
                      <a:avLst/>
                    </a:prstGeom>
                    <a:noFill/>
                    <a:ln>
                      <a:noFill/>
                    </a:ln>
                  </pic:spPr>
                </pic:pic>
              </a:graphicData>
            </a:graphic>
          </wp:inline>
        </w:drawing>
      </w:r>
    </w:p>
    <w:p w14:paraId="4388CEF3" w14:textId="3EBED3B5" w:rsidR="00CB71B2" w:rsidRPr="00CB71B2" w:rsidRDefault="00CB71B2" w:rsidP="00C534AC">
      <w:pPr>
        <w:rPr>
          <w:color w:val="FFFFFF" w:themeColor="background1"/>
        </w:rPr>
      </w:pPr>
      <w:bookmarkStart w:id="71" w:name="_Toc224458936"/>
      <w:r w:rsidRPr="00CB71B2">
        <w:rPr>
          <w:color w:val="FFFFFF" w:themeColor="background1"/>
        </w:rPr>
        <w:t xml:space="preserve">Figure </w:t>
      </w:r>
      <w:r w:rsidRPr="00CB71B2">
        <w:rPr>
          <w:color w:val="FFFFFF" w:themeColor="background1"/>
        </w:rPr>
        <w:fldChar w:fldCharType="begin"/>
      </w:r>
      <w:r w:rsidRPr="00CB71B2">
        <w:rPr>
          <w:color w:val="FFFFFF" w:themeColor="background1"/>
        </w:rPr>
        <w:instrText xml:space="preserve"> SEQ Figure \* ARABIC </w:instrText>
      </w:r>
      <w:r w:rsidRPr="00CB71B2">
        <w:rPr>
          <w:color w:val="FFFFFF" w:themeColor="background1"/>
        </w:rPr>
        <w:fldChar w:fldCharType="separate"/>
      </w:r>
      <w:r w:rsidR="00B4126D">
        <w:rPr>
          <w:noProof/>
          <w:color w:val="FFFFFF" w:themeColor="background1"/>
        </w:rPr>
        <w:t>1</w:t>
      </w:r>
      <w:r w:rsidRPr="00CB71B2">
        <w:rPr>
          <w:color w:val="FFFFFF" w:themeColor="background1"/>
        </w:rPr>
        <w:fldChar w:fldCharType="end"/>
      </w:r>
      <w:r w:rsidRPr="00CB71B2">
        <w:rPr>
          <w:color w:val="FFFFFF" w:themeColor="background1"/>
        </w:rPr>
        <w:t>. Graduates by Dual Enrollment Status</w:t>
      </w:r>
      <w:bookmarkEnd w:id="71"/>
    </w:p>
    <w:p w14:paraId="6F5216B2" w14:textId="08E49084" w:rsidR="00D74B5F" w:rsidRPr="00C534AC" w:rsidRDefault="00D74B5F" w:rsidP="00C534AC">
      <w:pPr>
        <w:rPr>
          <w:b/>
          <w:bCs/>
        </w:rPr>
      </w:pPr>
      <w:r w:rsidRPr="00C534AC">
        <w:rPr>
          <w:b/>
          <w:bCs/>
        </w:rPr>
        <w:t>Table 2</w:t>
      </w:r>
    </w:p>
    <w:p w14:paraId="3B3D8DCB" w14:textId="4A513E0E" w:rsidR="00D74B5F" w:rsidRDefault="00D74B5F" w:rsidP="00D74B5F">
      <w:pPr>
        <w:rPr>
          <w:i/>
          <w:iCs/>
        </w:rPr>
      </w:pPr>
      <w:r w:rsidRPr="00EE55D6">
        <w:rPr>
          <w:i/>
          <w:iCs/>
        </w:rPr>
        <w:t>Graduate</w:t>
      </w:r>
      <w:r w:rsidR="00C35042">
        <w:rPr>
          <w:i/>
          <w:iCs/>
        </w:rPr>
        <w:t>s</w:t>
      </w:r>
      <w:r w:rsidRPr="00EE55D6">
        <w:rPr>
          <w:i/>
          <w:iCs/>
        </w:rPr>
        <w:t xml:space="preserve"> by Dual Enrollment Status</w:t>
      </w:r>
    </w:p>
    <w:tbl>
      <w:tblPr>
        <w:tblStyle w:val="TableGrid"/>
        <w:tblW w:w="95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3144"/>
        <w:gridCol w:w="3144"/>
      </w:tblGrid>
      <w:tr w:rsidR="00A13170" w14:paraId="1E698CAE" w14:textId="4B7BC2F2" w:rsidTr="00E80E22">
        <w:tc>
          <w:tcPr>
            <w:tcW w:w="3240" w:type="dxa"/>
            <w:tcBorders>
              <w:top w:val="single" w:sz="4" w:space="0" w:color="auto"/>
              <w:bottom w:val="single" w:sz="4" w:space="0" w:color="auto"/>
            </w:tcBorders>
          </w:tcPr>
          <w:p w14:paraId="457CE53A" w14:textId="77777777" w:rsidR="00A13170" w:rsidRDefault="00A13170" w:rsidP="00A13170">
            <w:pPr>
              <w:spacing w:line="360" w:lineRule="auto"/>
            </w:pPr>
          </w:p>
        </w:tc>
        <w:tc>
          <w:tcPr>
            <w:tcW w:w="3144" w:type="dxa"/>
            <w:tcBorders>
              <w:top w:val="single" w:sz="4" w:space="0" w:color="auto"/>
              <w:bottom w:val="single" w:sz="4" w:space="0" w:color="auto"/>
            </w:tcBorders>
          </w:tcPr>
          <w:p w14:paraId="4426C53D" w14:textId="42FFBEC9" w:rsidR="00A13170" w:rsidRDefault="00A13170" w:rsidP="00A13170">
            <w:pPr>
              <w:spacing w:line="360" w:lineRule="auto"/>
              <w:jc w:val="center"/>
            </w:pPr>
            <w:r>
              <w:t>Dual Enrollment Student</w:t>
            </w:r>
          </w:p>
        </w:tc>
        <w:tc>
          <w:tcPr>
            <w:tcW w:w="3144" w:type="dxa"/>
            <w:tcBorders>
              <w:top w:val="single" w:sz="4" w:space="0" w:color="auto"/>
              <w:bottom w:val="single" w:sz="4" w:space="0" w:color="auto"/>
            </w:tcBorders>
          </w:tcPr>
          <w:p w14:paraId="65F29055" w14:textId="1B11C2C3" w:rsidR="00A13170" w:rsidRDefault="00A13170" w:rsidP="00A13170">
            <w:pPr>
              <w:spacing w:line="360" w:lineRule="auto"/>
              <w:jc w:val="center"/>
            </w:pPr>
            <w:r>
              <w:t>Non-Dual Enrollment Student</w:t>
            </w:r>
          </w:p>
        </w:tc>
      </w:tr>
      <w:tr w:rsidR="00A13170" w14:paraId="77BA1DC6" w14:textId="25980597" w:rsidTr="00E80E22">
        <w:tc>
          <w:tcPr>
            <w:tcW w:w="3240" w:type="dxa"/>
            <w:tcBorders>
              <w:top w:val="single" w:sz="4" w:space="0" w:color="auto"/>
            </w:tcBorders>
          </w:tcPr>
          <w:p w14:paraId="7BC20143" w14:textId="4E646472" w:rsidR="00A13170" w:rsidRDefault="00A13170" w:rsidP="00A13170">
            <w:pPr>
              <w:spacing w:line="360" w:lineRule="auto"/>
            </w:pPr>
            <w:r>
              <w:t>Graduate</w:t>
            </w:r>
            <w:r w:rsidR="00802748">
              <w:t>d within 150%</w:t>
            </w:r>
          </w:p>
        </w:tc>
        <w:tc>
          <w:tcPr>
            <w:tcW w:w="3144" w:type="dxa"/>
            <w:tcBorders>
              <w:top w:val="single" w:sz="4" w:space="0" w:color="auto"/>
            </w:tcBorders>
          </w:tcPr>
          <w:p w14:paraId="7F90F955" w14:textId="7CFA0D15" w:rsidR="00A13170" w:rsidRDefault="00E02199" w:rsidP="005D17DE">
            <w:pPr>
              <w:tabs>
                <w:tab w:val="decimal" w:pos="1509"/>
              </w:tabs>
              <w:spacing w:line="360" w:lineRule="auto"/>
            </w:pPr>
            <w:r>
              <w:t>579</w:t>
            </w:r>
          </w:p>
        </w:tc>
        <w:tc>
          <w:tcPr>
            <w:tcW w:w="3144" w:type="dxa"/>
            <w:tcBorders>
              <w:top w:val="single" w:sz="4" w:space="0" w:color="auto"/>
            </w:tcBorders>
          </w:tcPr>
          <w:p w14:paraId="541B3D3C" w14:textId="764E729E" w:rsidR="00A13170" w:rsidRDefault="00E02199" w:rsidP="005D17DE">
            <w:pPr>
              <w:tabs>
                <w:tab w:val="decimal" w:pos="1603"/>
              </w:tabs>
              <w:spacing w:line="360" w:lineRule="auto"/>
            </w:pPr>
            <w:r>
              <w:t>628</w:t>
            </w:r>
          </w:p>
        </w:tc>
      </w:tr>
      <w:tr w:rsidR="00A13170" w14:paraId="2FD53B01" w14:textId="3408F64C" w:rsidTr="00E80E22">
        <w:trPr>
          <w:trHeight w:val="423"/>
        </w:trPr>
        <w:tc>
          <w:tcPr>
            <w:tcW w:w="3240" w:type="dxa"/>
            <w:tcBorders>
              <w:bottom w:val="nil"/>
            </w:tcBorders>
          </w:tcPr>
          <w:p w14:paraId="58204811" w14:textId="2B6504A1" w:rsidR="00A13170" w:rsidRDefault="00802748" w:rsidP="00A13170">
            <w:pPr>
              <w:spacing w:line="360" w:lineRule="auto"/>
            </w:pPr>
            <w:r>
              <w:t>Did not Graduate Within</w:t>
            </w:r>
            <w:r w:rsidR="00E80E22">
              <w:t xml:space="preserve"> 150%</w:t>
            </w:r>
            <w:r>
              <w:t xml:space="preserve"> </w:t>
            </w:r>
          </w:p>
        </w:tc>
        <w:tc>
          <w:tcPr>
            <w:tcW w:w="3144" w:type="dxa"/>
            <w:tcBorders>
              <w:bottom w:val="nil"/>
            </w:tcBorders>
          </w:tcPr>
          <w:p w14:paraId="78A011BB" w14:textId="47F2B899" w:rsidR="00A13170" w:rsidRDefault="00E02199" w:rsidP="005D17DE">
            <w:pPr>
              <w:tabs>
                <w:tab w:val="decimal" w:pos="1509"/>
              </w:tabs>
              <w:spacing w:line="360" w:lineRule="auto"/>
            </w:pPr>
            <w:r>
              <w:t>337</w:t>
            </w:r>
          </w:p>
        </w:tc>
        <w:tc>
          <w:tcPr>
            <w:tcW w:w="3144" w:type="dxa"/>
            <w:tcBorders>
              <w:bottom w:val="nil"/>
            </w:tcBorders>
          </w:tcPr>
          <w:p w14:paraId="56DD90BC" w14:textId="583A1379" w:rsidR="00A13170" w:rsidRDefault="00E02199" w:rsidP="005D17DE">
            <w:pPr>
              <w:tabs>
                <w:tab w:val="decimal" w:pos="1603"/>
              </w:tabs>
              <w:spacing w:line="360" w:lineRule="auto"/>
            </w:pPr>
            <w:r>
              <w:t>534</w:t>
            </w:r>
          </w:p>
        </w:tc>
      </w:tr>
      <w:tr w:rsidR="00A13170" w14:paraId="0E057196" w14:textId="0D064EF2" w:rsidTr="00E80E22">
        <w:tc>
          <w:tcPr>
            <w:tcW w:w="3240" w:type="dxa"/>
            <w:tcBorders>
              <w:top w:val="nil"/>
              <w:bottom w:val="single" w:sz="4" w:space="0" w:color="auto"/>
            </w:tcBorders>
          </w:tcPr>
          <w:p w14:paraId="5BF8F8DF" w14:textId="77EFEEA1" w:rsidR="00A13170" w:rsidRDefault="00A13170" w:rsidP="00A13170">
            <w:pPr>
              <w:spacing w:line="360" w:lineRule="auto"/>
            </w:pPr>
            <w:r>
              <w:t>Total</w:t>
            </w:r>
          </w:p>
        </w:tc>
        <w:tc>
          <w:tcPr>
            <w:tcW w:w="3144" w:type="dxa"/>
            <w:tcBorders>
              <w:top w:val="nil"/>
              <w:bottom w:val="single" w:sz="4" w:space="0" w:color="auto"/>
            </w:tcBorders>
          </w:tcPr>
          <w:p w14:paraId="6ACE7904" w14:textId="28710779" w:rsidR="00A13170" w:rsidRDefault="00A13170" w:rsidP="005D17DE">
            <w:pPr>
              <w:tabs>
                <w:tab w:val="decimal" w:pos="1509"/>
              </w:tabs>
              <w:spacing w:line="360" w:lineRule="auto"/>
            </w:pPr>
            <w:r>
              <w:t>916</w:t>
            </w:r>
          </w:p>
        </w:tc>
        <w:tc>
          <w:tcPr>
            <w:tcW w:w="3144" w:type="dxa"/>
            <w:tcBorders>
              <w:top w:val="nil"/>
              <w:bottom w:val="single" w:sz="4" w:space="0" w:color="auto"/>
            </w:tcBorders>
          </w:tcPr>
          <w:p w14:paraId="460F5ACD" w14:textId="05F9EE37" w:rsidR="00A13170" w:rsidRDefault="00A13170" w:rsidP="005D17DE">
            <w:pPr>
              <w:tabs>
                <w:tab w:val="decimal" w:pos="1603"/>
              </w:tabs>
              <w:spacing w:line="360" w:lineRule="auto"/>
            </w:pPr>
            <w:r>
              <w:t>1162</w:t>
            </w:r>
          </w:p>
        </w:tc>
      </w:tr>
    </w:tbl>
    <w:p w14:paraId="5B5F2D83" w14:textId="01AE62A1" w:rsidR="00EB027E" w:rsidRPr="00EB027E" w:rsidRDefault="00EB027E" w:rsidP="00EB027E">
      <w:pPr>
        <w:rPr>
          <w:color w:val="FFFFFF" w:themeColor="background1"/>
        </w:rPr>
      </w:pPr>
      <w:bookmarkStart w:id="72" w:name="_Toc224458929"/>
      <w:r w:rsidRPr="00EB027E">
        <w:rPr>
          <w:color w:val="FFFFFF" w:themeColor="background1"/>
        </w:rPr>
        <w:t xml:space="preserve">Table </w:t>
      </w:r>
      <w:r w:rsidRPr="00EB027E">
        <w:rPr>
          <w:color w:val="FFFFFF" w:themeColor="background1"/>
        </w:rPr>
        <w:fldChar w:fldCharType="begin"/>
      </w:r>
      <w:r w:rsidRPr="00EB027E">
        <w:rPr>
          <w:color w:val="FFFFFF" w:themeColor="background1"/>
        </w:rPr>
        <w:instrText xml:space="preserve"> SEQ Table \* ARABIC </w:instrText>
      </w:r>
      <w:r w:rsidRPr="00EB027E">
        <w:rPr>
          <w:color w:val="FFFFFF" w:themeColor="background1"/>
        </w:rPr>
        <w:fldChar w:fldCharType="separate"/>
      </w:r>
      <w:r w:rsidR="00B4126D">
        <w:rPr>
          <w:noProof/>
          <w:color w:val="FFFFFF" w:themeColor="background1"/>
        </w:rPr>
        <w:t>2</w:t>
      </w:r>
      <w:r w:rsidRPr="00EB027E">
        <w:rPr>
          <w:color w:val="FFFFFF" w:themeColor="background1"/>
        </w:rPr>
        <w:fldChar w:fldCharType="end"/>
      </w:r>
      <w:r w:rsidRPr="00EB027E">
        <w:rPr>
          <w:color w:val="FFFFFF" w:themeColor="background1"/>
        </w:rPr>
        <w:t>. Graduates by Dual Enrollment Status</w:t>
      </w:r>
      <w:bookmarkEnd w:id="72"/>
    </w:p>
    <w:p w14:paraId="3686A1D5" w14:textId="7139C642" w:rsidR="003744D2" w:rsidRPr="00F53D48" w:rsidRDefault="003744D2" w:rsidP="003744D2">
      <w:pPr>
        <w:pStyle w:val="Heading3"/>
        <w:rPr>
          <w:rFonts w:cs="Times New Roman"/>
        </w:rPr>
      </w:pPr>
      <w:bookmarkStart w:id="73" w:name="_Toc224458911"/>
      <w:r>
        <w:rPr>
          <w:rFonts w:cs="Times New Roman"/>
        </w:rPr>
        <w:lastRenderedPageBreak/>
        <w:t>Research Question 2</w:t>
      </w:r>
      <w:bookmarkEnd w:id="73"/>
    </w:p>
    <w:p w14:paraId="6E1A7D0D" w14:textId="29BC758E" w:rsidR="00D84B90" w:rsidRPr="00E531E9" w:rsidRDefault="00D84B90" w:rsidP="003744D2">
      <w:pPr>
        <w:ind w:firstLine="720"/>
        <w:rPr>
          <w:rFonts w:cs="Times New Roman"/>
          <w:color w:val="000000" w:themeColor="text1"/>
          <w:szCs w:val="24"/>
        </w:rPr>
      </w:pPr>
      <w:r w:rsidRPr="009C1AA0">
        <w:rPr>
          <w:rFonts w:cs="Times New Roman"/>
          <w:color w:val="000000" w:themeColor="text1"/>
          <w:szCs w:val="24"/>
        </w:rPr>
        <w:t xml:space="preserve">RQ2: </w:t>
      </w:r>
      <w:r w:rsidRPr="009C1AA0">
        <w:rPr>
          <w:rFonts w:cs="Times New Roman"/>
        </w:rPr>
        <w:t>Is there a significant difference in the college GPA at the end of year one between first-time, full-time, community college students who completed at least one dual enrollment course in high school and those students who did not participate in dual enrollment?</w:t>
      </w:r>
    </w:p>
    <w:p w14:paraId="093C5EB3" w14:textId="597BA739" w:rsidR="00D84B90" w:rsidRDefault="00D84B90" w:rsidP="00D84B90">
      <w:pPr>
        <w:ind w:firstLine="720"/>
        <w:rPr>
          <w:rFonts w:cs="Times New Roman"/>
          <w:color w:val="000000" w:themeColor="text1"/>
          <w:szCs w:val="24"/>
        </w:rPr>
      </w:pPr>
      <w:r w:rsidRPr="00E531E9">
        <w:rPr>
          <w:rFonts w:cs="Times New Roman"/>
          <w:color w:val="000000" w:themeColor="text1"/>
          <w:szCs w:val="24"/>
        </w:rPr>
        <w:t>H</w:t>
      </w:r>
      <w:r w:rsidRPr="00E531E9">
        <w:rPr>
          <w:rFonts w:cs="Times New Roman"/>
          <w:color w:val="000000" w:themeColor="text1"/>
          <w:szCs w:val="24"/>
          <w:vertAlign w:val="subscript"/>
        </w:rPr>
        <w:t>o</w:t>
      </w:r>
      <w:r w:rsidRPr="00E531E9">
        <w:rPr>
          <w:rFonts w:cs="Times New Roman"/>
          <w:color w:val="000000" w:themeColor="text1"/>
          <w:szCs w:val="24"/>
        </w:rPr>
        <w:t xml:space="preserve">2: There is no significant difference </w:t>
      </w:r>
      <w:r>
        <w:rPr>
          <w:rFonts w:cs="Times New Roman"/>
        </w:rPr>
        <w:t>in the college GPA at the end of year one between first-time, full-time, community college students who completed at least one dual enrollment course in high school and those students who did not participate in dual enrollment</w:t>
      </w:r>
      <w:r w:rsidRPr="00A866B8">
        <w:rPr>
          <w:rFonts w:cs="Times New Roman"/>
          <w:color w:val="000000" w:themeColor="text1"/>
          <w:szCs w:val="24"/>
        </w:rPr>
        <w:t>.</w:t>
      </w:r>
    </w:p>
    <w:p w14:paraId="5BBF07D6" w14:textId="1171157A" w:rsidR="002B6D2F" w:rsidRDefault="00B35469" w:rsidP="002B6D2F">
      <w:pPr>
        <w:spacing w:after="160"/>
        <w:ind w:firstLine="720"/>
        <w:rPr>
          <w:rFonts w:cs="Times New Roman"/>
          <w:szCs w:val="24"/>
        </w:rPr>
      </w:pPr>
      <w:r>
        <w:rPr>
          <w:rFonts w:cs="Times New Roman"/>
          <w:color w:val="000000" w:themeColor="text1"/>
          <w:spacing w:val="3"/>
          <w:szCs w:val="24"/>
        </w:rPr>
        <w:t>An independent</w:t>
      </w:r>
      <w:r w:rsidR="00DF4B2E">
        <w:rPr>
          <w:rFonts w:cs="Times New Roman"/>
          <w:color w:val="000000" w:themeColor="text1"/>
          <w:spacing w:val="3"/>
          <w:szCs w:val="24"/>
        </w:rPr>
        <w:t>-</w:t>
      </w:r>
      <w:r w:rsidR="003744D2">
        <w:rPr>
          <w:rFonts w:cs="Times New Roman"/>
          <w:color w:val="000000" w:themeColor="text1"/>
          <w:spacing w:val="3"/>
          <w:szCs w:val="24"/>
        </w:rPr>
        <w:t>samples</w:t>
      </w:r>
      <w:r>
        <w:rPr>
          <w:rFonts w:cs="Times New Roman"/>
          <w:color w:val="000000" w:themeColor="text1"/>
          <w:spacing w:val="3"/>
          <w:szCs w:val="24"/>
        </w:rPr>
        <w:t xml:space="preserve"> </w:t>
      </w:r>
      <w:r w:rsidR="00DF4B2E">
        <w:rPr>
          <w:rFonts w:cs="Times New Roman"/>
          <w:color w:val="000000" w:themeColor="text1"/>
          <w:spacing w:val="3"/>
          <w:szCs w:val="24"/>
        </w:rPr>
        <w:t>t-</w:t>
      </w:r>
      <w:r>
        <w:rPr>
          <w:rFonts w:cs="Times New Roman"/>
          <w:color w:val="000000" w:themeColor="text1"/>
          <w:spacing w:val="3"/>
          <w:szCs w:val="24"/>
        </w:rPr>
        <w:t>test was conducted to evaluate</w:t>
      </w:r>
      <w:r w:rsidR="003744D2">
        <w:rPr>
          <w:rFonts w:cs="Times New Roman"/>
          <w:color w:val="000000" w:themeColor="text1"/>
          <w:spacing w:val="3"/>
          <w:szCs w:val="24"/>
        </w:rPr>
        <w:t xml:space="preserve"> if </w:t>
      </w:r>
      <w:r w:rsidR="003744D2">
        <w:rPr>
          <w:rFonts w:cs="Times New Roman"/>
        </w:rPr>
        <w:t>there is a significant difference in the college GPA at the end of year one between first-time, full-time, community college students who completed at least one dual enrollment course in high school and those students who did not participate in dual enrollment</w:t>
      </w:r>
      <w:r w:rsidR="000042D2">
        <w:rPr>
          <w:rFonts w:cs="Times New Roman"/>
        </w:rPr>
        <w:t>. College GPA for first-time, full-time students at the end of year one was the test variable and dual enrollment status (yes, no) was the grouping variable. The Lev</w:t>
      </w:r>
      <w:r w:rsidR="00826EA5">
        <w:rPr>
          <w:rFonts w:cs="Times New Roman"/>
        </w:rPr>
        <w:t>e</w:t>
      </w:r>
      <w:r w:rsidR="000042D2">
        <w:rPr>
          <w:rFonts w:cs="Times New Roman"/>
        </w:rPr>
        <w:t xml:space="preserve">ne’s test for equality of variances was found to be significant (p </w:t>
      </w:r>
      <w:r w:rsidR="00286357" w:rsidRPr="00E52AAD">
        <w:rPr>
          <w:rFonts w:cs="Times New Roman"/>
          <w:szCs w:val="24"/>
        </w:rPr>
        <w:t xml:space="preserve">&lt; </w:t>
      </w:r>
      <w:r w:rsidR="00286357">
        <w:rPr>
          <w:rFonts w:cs="Times New Roman"/>
          <w:szCs w:val="24"/>
        </w:rPr>
        <w:t xml:space="preserve">.001). </w:t>
      </w:r>
      <w:r w:rsidR="00802748">
        <w:rPr>
          <w:rFonts w:cs="Times New Roman"/>
          <w:szCs w:val="24"/>
        </w:rPr>
        <w:t xml:space="preserve">Therefore, equal variances were not assumed. </w:t>
      </w:r>
      <w:r w:rsidR="00286357">
        <w:rPr>
          <w:rFonts w:cs="Times New Roman"/>
          <w:szCs w:val="24"/>
        </w:rPr>
        <w:t xml:space="preserve">The </w:t>
      </w:r>
      <w:r w:rsidR="00286357" w:rsidRPr="00286357">
        <w:rPr>
          <w:rFonts w:cs="Times New Roman"/>
          <w:i/>
          <w:iCs/>
          <w:szCs w:val="24"/>
        </w:rPr>
        <w:t>t</w:t>
      </w:r>
      <w:r w:rsidR="00471339">
        <w:rPr>
          <w:rFonts w:cs="Times New Roman"/>
          <w:szCs w:val="24"/>
        </w:rPr>
        <w:t>-</w:t>
      </w:r>
      <w:r w:rsidR="00286357">
        <w:rPr>
          <w:rFonts w:cs="Times New Roman"/>
          <w:szCs w:val="24"/>
        </w:rPr>
        <w:t xml:space="preserve">test was significant, </w:t>
      </w:r>
      <w:proofErr w:type="gramStart"/>
      <w:r w:rsidR="00286357" w:rsidRPr="00286357">
        <w:rPr>
          <w:rFonts w:cs="Times New Roman"/>
          <w:i/>
          <w:iCs/>
          <w:szCs w:val="24"/>
        </w:rPr>
        <w:t>t</w:t>
      </w:r>
      <w:r w:rsidR="00286357">
        <w:rPr>
          <w:rFonts w:cs="Times New Roman"/>
          <w:szCs w:val="24"/>
        </w:rPr>
        <w:t>(</w:t>
      </w:r>
      <w:proofErr w:type="gramEnd"/>
      <w:r w:rsidR="00286357">
        <w:rPr>
          <w:rFonts w:cs="Times New Roman"/>
          <w:szCs w:val="24"/>
        </w:rPr>
        <w:t xml:space="preserve">2076) = 8.48, p </w:t>
      </w:r>
      <w:r w:rsidR="00286357" w:rsidRPr="00E52AAD">
        <w:rPr>
          <w:rFonts w:cs="Times New Roman"/>
          <w:szCs w:val="24"/>
        </w:rPr>
        <w:t xml:space="preserve">&lt; </w:t>
      </w:r>
      <w:r w:rsidR="00286357">
        <w:rPr>
          <w:rFonts w:cs="Times New Roman"/>
          <w:szCs w:val="24"/>
        </w:rPr>
        <w:t xml:space="preserve">.001. </w:t>
      </w:r>
      <w:r>
        <w:rPr>
          <w:rFonts w:cs="Times New Roman"/>
          <w:color w:val="000000" w:themeColor="text1"/>
          <w:spacing w:val="3"/>
          <w:szCs w:val="24"/>
        </w:rPr>
        <w:t xml:space="preserve">The null hypothesis </w:t>
      </w:r>
      <w:r w:rsidR="00286357" w:rsidRPr="00E531E9">
        <w:rPr>
          <w:rFonts w:cs="Times New Roman"/>
          <w:color w:val="000000" w:themeColor="text1"/>
          <w:szCs w:val="24"/>
        </w:rPr>
        <w:t>H</w:t>
      </w:r>
      <w:r w:rsidR="00286357" w:rsidRPr="00E531E9">
        <w:rPr>
          <w:rFonts w:cs="Times New Roman"/>
          <w:color w:val="000000" w:themeColor="text1"/>
          <w:szCs w:val="24"/>
          <w:vertAlign w:val="subscript"/>
        </w:rPr>
        <w:t>o</w:t>
      </w:r>
      <w:r w:rsidR="00286357" w:rsidRPr="00E531E9">
        <w:rPr>
          <w:rFonts w:cs="Times New Roman"/>
          <w:color w:val="000000" w:themeColor="text1"/>
          <w:szCs w:val="24"/>
        </w:rPr>
        <w:t>2</w:t>
      </w:r>
      <w:r w:rsidR="00286357">
        <w:rPr>
          <w:rFonts w:cs="Times New Roman"/>
          <w:color w:val="000000" w:themeColor="text1"/>
          <w:szCs w:val="24"/>
        </w:rPr>
        <w:t xml:space="preserve"> </w:t>
      </w:r>
      <w:r>
        <w:rPr>
          <w:rFonts w:cs="Times New Roman"/>
          <w:color w:val="000000" w:themeColor="text1"/>
          <w:spacing w:val="3"/>
          <w:szCs w:val="24"/>
        </w:rPr>
        <w:t xml:space="preserve">was rejected. </w:t>
      </w:r>
      <w:r w:rsidR="00286357">
        <w:rPr>
          <w:rFonts w:cs="Times New Roman"/>
          <w:color w:val="000000" w:themeColor="text1"/>
          <w:spacing w:val="3"/>
          <w:szCs w:val="24"/>
        </w:rPr>
        <w:t>In general, students in the dual enrollment group had a significantly higher college GPA at the end of year one</w:t>
      </w:r>
      <w:r w:rsidR="00405E1A">
        <w:rPr>
          <w:rFonts w:cs="Times New Roman"/>
          <w:color w:val="000000" w:themeColor="text1"/>
          <w:spacing w:val="3"/>
          <w:szCs w:val="24"/>
        </w:rPr>
        <w:t xml:space="preserve"> (M = 3.26, SD = .7</w:t>
      </w:r>
      <w:r w:rsidR="00471339">
        <w:rPr>
          <w:rFonts w:cs="Times New Roman"/>
          <w:color w:val="000000" w:themeColor="text1"/>
          <w:spacing w:val="3"/>
          <w:szCs w:val="24"/>
        </w:rPr>
        <w:t>1</w:t>
      </w:r>
      <w:r w:rsidR="00405E1A">
        <w:rPr>
          <w:rFonts w:cs="Times New Roman"/>
          <w:color w:val="000000" w:themeColor="text1"/>
          <w:spacing w:val="3"/>
          <w:szCs w:val="24"/>
        </w:rPr>
        <w:t>)</w:t>
      </w:r>
      <w:r w:rsidR="00286357">
        <w:rPr>
          <w:rFonts w:cs="Times New Roman"/>
          <w:color w:val="000000" w:themeColor="text1"/>
          <w:spacing w:val="3"/>
          <w:szCs w:val="24"/>
        </w:rPr>
        <w:t xml:space="preserve"> than </w:t>
      </w:r>
      <w:r w:rsidR="00405E1A">
        <w:rPr>
          <w:rFonts w:cs="Times New Roman"/>
          <w:color w:val="000000" w:themeColor="text1"/>
          <w:spacing w:val="3"/>
          <w:szCs w:val="24"/>
        </w:rPr>
        <w:t xml:space="preserve">the </w:t>
      </w:r>
      <w:r w:rsidR="00286357">
        <w:rPr>
          <w:rFonts w:cs="Times New Roman"/>
          <w:color w:val="000000" w:themeColor="text1"/>
          <w:spacing w:val="3"/>
          <w:szCs w:val="24"/>
        </w:rPr>
        <w:t>non-dual enrollment students</w:t>
      </w:r>
      <w:r w:rsidR="00405E1A">
        <w:rPr>
          <w:rFonts w:cs="Times New Roman"/>
          <w:color w:val="000000" w:themeColor="text1"/>
          <w:spacing w:val="3"/>
          <w:szCs w:val="24"/>
        </w:rPr>
        <w:t xml:space="preserve"> at the end of year one (M = 2.89, SD 1.17)</w:t>
      </w:r>
      <w:r w:rsidR="00286357">
        <w:rPr>
          <w:rFonts w:cs="Times New Roman"/>
          <w:color w:val="000000" w:themeColor="text1"/>
          <w:spacing w:val="3"/>
          <w:szCs w:val="24"/>
        </w:rPr>
        <w:t>.</w:t>
      </w:r>
      <w:r w:rsidR="00405E1A">
        <w:rPr>
          <w:rFonts w:cs="Times New Roman"/>
          <w:color w:val="000000" w:themeColor="text1"/>
          <w:spacing w:val="3"/>
          <w:szCs w:val="24"/>
        </w:rPr>
        <w:t xml:space="preserve"> The 95% confidence level was -.46 to -.29. The Cohen’s </w:t>
      </w:r>
      <w:r w:rsidR="00405E1A" w:rsidRPr="00405E1A">
        <w:rPr>
          <w:rFonts w:cs="Times New Roman"/>
          <w:i/>
          <w:iCs/>
          <w:color w:val="000000" w:themeColor="text1"/>
          <w:spacing w:val="3"/>
          <w:szCs w:val="24"/>
        </w:rPr>
        <w:t>d</w:t>
      </w:r>
      <w:r w:rsidR="00405E1A">
        <w:rPr>
          <w:rFonts w:cs="Times New Roman"/>
          <w:i/>
          <w:iCs/>
          <w:color w:val="000000" w:themeColor="text1"/>
          <w:spacing w:val="3"/>
          <w:szCs w:val="24"/>
        </w:rPr>
        <w:t xml:space="preserve"> </w:t>
      </w:r>
      <w:r w:rsidR="00405E1A" w:rsidRPr="00405E1A">
        <w:rPr>
          <w:rFonts w:cs="Times New Roman"/>
          <w:color w:val="000000" w:themeColor="text1"/>
          <w:spacing w:val="3"/>
          <w:szCs w:val="24"/>
        </w:rPr>
        <w:t>index was</w:t>
      </w:r>
      <w:r w:rsidR="00405E1A">
        <w:rPr>
          <w:rFonts w:cs="Times New Roman"/>
          <w:i/>
          <w:iCs/>
          <w:color w:val="000000" w:themeColor="text1"/>
          <w:spacing w:val="3"/>
          <w:szCs w:val="24"/>
        </w:rPr>
        <w:t xml:space="preserve"> </w:t>
      </w:r>
      <w:r w:rsidR="00405E1A">
        <w:rPr>
          <w:rFonts w:cs="Times New Roman"/>
          <w:color w:val="000000" w:themeColor="text1"/>
          <w:spacing w:val="3"/>
          <w:szCs w:val="24"/>
        </w:rPr>
        <w:t xml:space="preserve">.99 which indicated a large effect size. </w:t>
      </w:r>
      <w:r w:rsidR="002B6D2F">
        <w:rPr>
          <w:rFonts w:cs="Times New Roman"/>
          <w:szCs w:val="24"/>
        </w:rPr>
        <w:t xml:space="preserve">See Figure 2 and Table 3 for visual representation of this finding. </w:t>
      </w:r>
    </w:p>
    <w:p w14:paraId="6A1DE5F0" w14:textId="180B25EC" w:rsidR="000373C7" w:rsidRDefault="000373C7" w:rsidP="002B6D2F">
      <w:pPr>
        <w:spacing w:after="160"/>
        <w:ind w:firstLine="720"/>
        <w:rPr>
          <w:rFonts w:cs="Times New Roman"/>
          <w:szCs w:val="24"/>
        </w:rPr>
      </w:pPr>
    </w:p>
    <w:p w14:paraId="7EBA7A44" w14:textId="52F170FF" w:rsidR="000373C7" w:rsidRDefault="000373C7" w:rsidP="002B6D2F">
      <w:pPr>
        <w:spacing w:after="160"/>
        <w:ind w:firstLine="720"/>
        <w:rPr>
          <w:rFonts w:cs="Times New Roman"/>
          <w:szCs w:val="24"/>
        </w:rPr>
      </w:pPr>
    </w:p>
    <w:p w14:paraId="75F40E3F" w14:textId="77777777" w:rsidR="000373C7" w:rsidRDefault="000373C7" w:rsidP="00DF36F1">
      <w:pPr>
        <w:spacing w:after="160"/>
        <w:rPr>
          <w:rFonts w:cs="Times New Roman"/>
          <w:szCs w:val="24"/>
        </w:rPr>
      </w:pPr>
    </w:p>
    <w:p w14:paraId="03BA6FCC" w14:textId="35A87001" w:rsidR="002B6D2F" w:rsidRPr="00C534AC" w:rsidRDefault="002B6D2F" w:rsidP="00C534AC">
      <w:pPr>
        <w:rPr>
          <w:b/>
          <w:bCs/>
        </w:rPr>
      </w:pPr>
      <w:r w:rsidRPr="00C534AC">
        <w:rPr>
          <w:b/>
          <w:bCs/>
        </w:rPr>
        <w:lastRenderedPageBreak/>
        <w:t>Figure 2</w:t>
      </w:r>
    </w:p>
    <w:p w14:paraId="19DDAE68" w14:textId="245FA54A" w:rsidR="002B6D2F" w:rsidRPr="002B6D2F" w:rsidRDefault="00DD51A1" w:rsidP="002B6D2F">
      <w:pPr>
        <w:rPr>
          <w:i/>
          <w:iCs/>
        </w:rPr>
      </w:pPr>
      <w:r>
        <w:rPr>
          <w:i/>
          <w:iCs/>
        </w:rPr>
        <w:t>End of Freshman Year GPA by Dual Enrollment Status</w:t>
      </w:r>
    </w:p>
    <w:p w14:paraId="36850525" w14:textId="1E2C4659" w:rsidR="003E4471" w:rsidRDefault="00DA0541" w:rsidP="00DA0541">
      <w:pPr>
        <w:autoSpaceDE w:val="0"/>
        <w:autoSpaceDN w:val="0"/>
        <w:adjustRightInd w:val="0"/>
        <w:spacing w:line="240" w:lineRule="auto"/>
        <w:rPr>
          <w:rFonts w:cs="Times New Roman"/>
          <w:szCs w:val="24"/>
        </w:rPr>
      </w:pPr>
      <w:r w:rsidRPr="00DA0541">
        <w:rPr>
          <w:rFonts w:cs="Times New Roman"/>
          <w:noProof/>
          <w:szCs w:val="24"/>
        </w:rPr>
        <w:drawing>
          <wp:inline distT="0" distB="0" distL="0" distR="0" wp14:anchorId="2FFD4B97" wp14:editId="201FDF07">
            <wp:extent cx="5943600" cy="35045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504565"/>
                    </a:xfrm>
                    <a:prstGeom prst="rect">
                      <a:avLst/>
                    </a:prstGeom>
                  </pic:spPr>
                </pic:pic>
              </a:graphicData>
            </a:graphic>
          </wp:inline>
        </w:drawing>
      </w:r>
    </w:p>
    <w:p w14:paraId="0A99D680" w14:textId="213BA04E" w:rsidR="000373C7" w:rsidRPr="000373C7" w:rsidRDefault="000373C7" w:rsidP="000373C7">
      <w:pPr>
        <w:keepNext/>
        <w:rPr>
          <w:rFonts w:cs="Times New Roman"/>
          <w:color w:val="FFFFFF" w:themeColor="background1"/>
          <w:szCs w:val="24"/>
        </w:rPr>
      </w:pPr>
      <w:bookmarkStart w:id="74" w:name="_Toc224458937"/>
      <w:r w:rsidRPr="000373C7">
        <w:rPr>
          <w:color w:val="FFFFFF" w:themeColor="background1"/>
        </w:rPr>
        <w:t xml:space="preserve">Figure </w:t>
      </w:r>
      <w:r w:rsidRPr="000373C7">
        <w:rPr>
          <w:color w:val="FFFFFF" w:themeColor="background1"/>
        </w:rPr>
        <w:fldChar w:fldCharType="begin"/>
      </w:r>
      <w:r w:rsidRPr="000373C7">
        <w:rPr>
          <w:color w:val="FFFFFF" w:themeColor="background1"/>
        </w:rPr>
        <w:instrText xml:space="preserve"> SEQ Figure \* ARABIC </w:instrText>
      </w:r>
      <w:r w:rsidRPr="000373C7">
        <w:rPr>
          <w:color w:val="FFFFFF" w:themeColor="background1"/>
        </w:rPr>
        <w:fldChar w:fldCharType="separate"/>
      </w:r>
      <w:r w:rsidR="00B4126D">
        <w:rPr>
          <w:noProof/>
          <w:color w:val="FFFFFF" w:themeColor="background1"/>
        </w:rPr>
        <w:t>2</w:t>
      </w:r>
      <w:r w:rsidRPr="000373C7">
        <w:rPr>
          <w:color w:val="FFFFFF" w:themeColor="background1"/>
        </w:rPr>
        <w:fldChar w:fldCharType="end"/>
      </w:r>
      <w:r w:rsidRPr="000373C7">
        <w:rPr>
          <w:color w:val="FFFFFF" w:themeColor="background1"/>
        </w:rPr>
        <w:t>. End of Freshman Year GPA by Dual Enrollment Status</w:t>
      </w:r>
      <w:bookmarkEnd w:id="74"/>
    </w:p>
    <w:p w14:paraId="3D0C8937" w14:textId="07A7F088" w:rsidR="00960FA9" w:rsidRPr="00C534AC" w:rsidRDefault="00960FA9" w:rsidP="00C534AC">
      <w:pPr>
        <w:rPr>
          <w:b/>
          <w:bCs/>
        </w:rPr>
      </w:pPr>
      <w:r w:rsidRPr="00C534AC">
        <w:rPr>
          <w:b/>
          <w:bCs/>
        </w:rPr>
        <w:t xml:space="preserve">Table </w:t>
      </w:r>
      <w:r w:rsidR="002B6D2F" w:rsidRPr="00C534AC">
        <w:rPr>
          <w:b/>
          <w:bCs/>
        </w:rPr>
        <w:t>3</w:t>
      </w:r>
    </w:p>
    <w:p w14:paraId="484299AA" w14:textId="13D148EC" w:rsidR="00960FA9" w:rsidRDefault="00960FA9">
      <w:pPr>
        <w:rPr>
          <w:i/>
          <w:iCs/>
        </w:rPr>
      </w:pPr>
      <w:r w:rsidRPr="00960FA9">
        <w:rPr>
          <w:i/>
          <w:iCs/>
        </w:rPr>
        <w:t>End of Freshman Year GPA</w:t>
      </w:r>
    </w:p>
    <w:tbl>
      <w:tblPr>
        <w:tblStyle w:val="TableGrid"/>
        <w:tblW w:w="0" w:type="auto"/>
        <w:tblLook w:val="04A0" w:firstRow="1" w:lastRow="0" w:firstColumn="1" w:lastColumn="0" w:noHBand="0" w:noVBand="1"/>
      </w:tblPr>
      <w:tblGrid>
        <w:gridCol w:w="3740"/>
        <w:gridCol w:w="1870"/>
        <w:gridCol w:w="1870"/>
        <w:gridCol w:w="1870"/>
      </w:tblGrid>
      <w:tr w:rsidR="008807E5" w14:paraId="427FE4B2" w14:textId="77777777" w:rsidTr="00472B8B">
        <w:tc>
          <w:tcPr>
            <w:tcW w:w="3740" w:type="dxa"/>
            <w:tcBorders>
              <w:top w:val="single" w:sz="4" w:space="0" w:color="auto"/>
              <w:left w:val="nil"/>
              <w:bottom w:val="single" w:sz="4" w:space="0" w:color="auto"/>
              <w:right w:val="nil"/>
            </w:tcBorders>
          </w:tcPr>
          <w:p w14:paraId="0235F8B8" w14:textId="77777777" w:rsidR="008807E5" w:rsidRDefault="008807E5" w:rsidP="008807E5">
            <w:pPr>
              <w:spacing w:line="360" w:lineRule="auto"/>
            </w:pPr>
          </w:p>
        </w:tc>
        <w:tc>
          <w:tcPr>
            <w:tcW w:w="1870" w:type="dxa"/>
            <w:tcBorders>
              <w:top w:val="single" w:sz="4" w:space="0" w:color="auto"/>
              <w:left w:val="nil"/>
              <w:bottom w:val="single" w:sz="4" w:space="0" w:color="auto"/>
              <w:right w:val="nil"/>
            </w:tcBorders>
          </w:tcPr>
          <w:p w14:paraId="6B9361C4" w14:textId="5F1E7F90" w:rsidR="008807E5" w:rsidRDefault="008807E5" w:rsidP="008807E5">
            <w:pPr>
              <w:spacing w:line="360" w:lineRule="auto"/>
              <w:jc w:val="center"/>
            </w:pPr>
            <w:r>
              <w:t>N</w:t>
            </w:r>
          </w:p>
        </w:tc>
        <w:tc>
          <w:tcPr>
            <w:tcW w:w="1870" w:type="dxa"/>
            <w:tcBorders>
              <w:top w:val="single" w:sz="4" w:space="0" w:color="auto"/>
              <w:left w:val="nil"/>
              <w:bottom w:val="single" w:sz="4" w:space="0" w:color="auto"/>
              <w:right w:val="nil"/>
            </w:tcBorders>
          </w:tcPr>
          <w:p w14:paraId="101A7B84" w14:textId="30109D37" w:rsidR="008807E5" w:rsidRDefault="008807E5" w:rsidP="008807E5">
            <w:pPr>
              <w:spacing w:line="360" w:lineRule="auto"/>
              <w:jc w:val="center"/>
            </w:pPr>
            <w:r>
              <w:t>M</w:t>
            </w:r>
          </w:p>
        </w:tc>
        <w:tc>
          <w:tcPr>
            <w:tcW w:w="1870" w:type="dxa"/>
            <w:tcBorders>
              <w:top w:val="single" w:sz="4" w:space="0" w:color="auto"/>
              <w:left w:val="nil"/>
              <w:bottom w:val="single" w:sz="4" w:space="0" w:color="auto"/>
              <w:right w:val="nil"/>
            </w:tcBorders>
          </w:tcPr>
          <w:p w14:paraId="6301434E" w14:textId="3761E7E4" w:rsidR="008807E5" w:rsidRDefault="008807E5" w:rsidP="008807E5">
            <w:pPr>
              <w:spacing w:line="360" w:lineRule="auto"/>
              <w:jc w:val="center"/>
            </w:pPr>
            <w:r>
              <w:t>SD</w:t>
            </w:r>
          </w:p>
        </w:tc>
      </w:tr>
      <w:tr w:rsidR="008807E5" w14:paraId="0274DCE7" w14:textId="77777777" w:rsidTr="00472B8B">
        <w:tc>
          <w:tcPr>
            <w:tcW w:w="3740" w:type="dxa"/>
            <w:tcBorders>
              <w:top w:val="single" w:sz="4" w:space="0" w:color="auto"/>
              <w:left w:val="nil"/>
              <w:bottom w:val="nil"/>
              <w:right w:val="nil"/>
            </w:tcBorders>
          </w:tcPr>
          <w:p w14:paraId="15FB0312" w14:textId="7B74C9A8" w:rsidR="008807E5" w:rsidRDefault="008807E5" w:rsidP="008807E5">
            <w:pPr>
              <w:spacing w:line="360" w:lineRule="auto"/>
            </w:pPr>
            <w:r>
              <w:t>Non-Dual Enrollment</w:t>
            </w:r>
          </w:p>
        </w:tc>
        <w:tc>
          <w:tcPr>
            <w:tcW w:w="1870" w:type="dxa"/>
            <w:tcBorders>
              <w:top w:val="single" w:sz="4" w:space="0" w:color="auto"/>
              <w:left w:val="nil"/>
              <w:bottom w:val="nil"/>
              <w:right w:val="nil"/>
            </w:tcBorders>
          </w:tcPr>
          <w:p w14:paraId="59B18302" w14:textId="39418622" w:rsidR="008807E5" w:rsidRDefault="008807E5" w:rsidP="00F72E8F">
            <w:pPr>
              <w:tabs>
                <w:tab w:val="decimal" w:pos="1015"/>
              </w:tabs>
              <w:spacing w:line="360" w:lineRule="auto"/>
            </w:pPr>
            <w:r>
              <w:t>1162</w:t>
            </w:r>
          </w:p>
        </w:tc>
        <w:tc>
          <w:tcPr>
            <w:tcW w:w="1870" w:type="dxa"/>
            <w:tcBorders>
              <w:top w:val="single" w:sz="4" w:space="0" w:color="auto"/>
              <w:left w:val="nil"/>
              <w:bottom w:val="nil"/>
              <w:right w:val="nil"/>
            </w:tcBorders>
          </w:tcPr>
          <w:p w14:paraId="09FBC9C8" w14:textId="28319B60" w:rsidR="008807E5" w:rsidRDefault="008807E5" w:rsidP="00472B8B">
            <w:pPr>
              <w:tabs>
                <w:tab w:val="decimal" w:pos="737"/>
              </w:tabs>
              <w:spacing w:line="360" w:lineRule="auto"/>
            </w:pPr>
            <w:r>
              <w:t>2.89</w:t>
            </w:r>
          </w:p>
        </w:tc>
        <w:tc>
          <w:tcPr>
            <w:tcW w:w="1870" w:type="dxa"/>
            <w:tcBorders>
              <w:top w:val="single" w:sz="4" w:space="0" w:color="auto"/>
              <w:left w:val="nil"/>
              <w:bottom w:val="nil"/>
              <w:right w:val="nil"/>
            </w:tcBorders>
          </w:tcPr>
          <w:p w14:paraId="1B78C045" w14:textId="43ADD438" w:rsidR="008807E5" w:rsidRDefault="008807E5" w:rsidP="00472B8B">
            <w:pPr>
              <w:tabs>
                <w:tab w:val="decimal" w:pos="737"/>
              </w:tabs>
              <w:spacing w:line="360" w:lineRule="auto"/>
            </w:pPr>
            <w:r>
              <w:t>1.17</w:t>
            </w:r>
          </w:p>
        </w:tc>
      </w:tr>
      <w:tr w:rsidR="008807E5" w14:paraId="0B62D3EA" w14:textId="77777777" w:rsidTr="00472B8B">
        <w:tc>
          <w:tcPr>
            <w:tcW w:w="3740" w:type="dxa"/>
            <w:tcBorders>
              <w:top w:val="nil"/>
              <w:left w:val="nil"/>
              <w:bottom w:val="single" w:sz="4" w:space="0" w:color="auto"/>
              <w:right w:val="nil"/>
            </w:tcBorders>
          </w:tcPr>
          <w:p w14:paraId="5B288A39" w14:textId="622CA328" w:rsidR="008807E5" w:rsidRDefault="008807E5" w:rsidP="008807E5">
            <w:pPr>
              <w:spacing w:line="360" w:lineRule="auto"/>
            </w:pPr>
            <w:r>
              <w:t>Dual Enrollment</w:t>
            </w:r>
          </w:p>
        </w:tc>
        <w:tc>
          <w:tcPr>
            <w:tcW w:w="1870" w:type="dxa"/>
            <w:tcBorders>
              <w:top w:val="nil"/>
              <w:left w:val="nil"/>
              <w:bottom w:val="single" w:sz="4" w:space="0" w:color="auto"/>
              <w:right w:val="nil"/>
            </w:tcBorders>
          </w:tcPr>
          <w:p w14:paraId="3D4BA0FF" w14:textId="626A497F" w:rsidR="008807E5" w:rsidRDefault="008807E5" w:rsidP="00F72E8F">
            <w:pPr>
              <w:tabs>
                <w:tab w:val="decimal" w:pos="1015"/>
              </w:tabs>
              <w:spacing w:line="360" w:lineRule="auto"/>
            </w:pPr>
            <w:r>
              <w:t>916</w:t>
            </w:r>
          </w:p>
        </w:tc>
        <w:tc>
          <w:tcPr>
            <w:tcW w:w="1870" w:type="dxa"/>
            <w:tcBorders>
              <w:top w:val="nil"/>
              <w:left w:val="nil"/>
              <w:bottom w:val="single" w:sz="4" w:space="0" w:color="auto"/>
              <w:right w:val="nil"/>
            </w:tcBorders>
          </w:tcPr>
          <w:p w14:paraId="196C2CE2" w14:textId="50AA7BD9" w:rsidR="008807E5" w:rsidRDefault="008807E5" w:rsidP="00472B8B">
            <w:pPr>
              <w:tabs>
                <w:tab w:val="decimal" w:pos="737"/>
              </w:tabs>
              <w:spacing w:line="360" w:lineRule="auto"/>
            </w:pPr>
            <w:r>
              <w:t>3.26</w:t>
            </w:r>
          </w:p>
        </w:tc>
        <w:tc>
          <w:tcPr>
            <w:tcW w:w="1870" w:type="dxa"/>
            <w:tcBorders>
              <w:top w:val="nil"/>
              <w:left w:val="nil"/>
              <w:bottom w:val="single" w:sz="4" w:space="0" w:color="auto"/>
              <w:right w:val="nil"/>
            </w:tcBorders>
          </w:tcPr>
          <w:p w14:paraId="66029033" w14:textId="779E74A6" w:rsidR="008807E5" w:rsidRDefault="008807E5" w:rsidP="00472B8B">
            <w:pPr>
              <w:tabs>
                <w:tab w:val="decimal" w:pos="737"/>
              </w:tabs>
              <w:spacing w:line="360" w:lineRule="auto"/>
            </w:pPr>
            <w:r>
              <w:t>.71</w:t>
            </w:r>
          </w:p>
        </w:tc>
      </w:tr>
    </w:tbl>
    <w:p w14:paraId="1F66785C" w14:textId="046EED7D" w:rsidR="00DF4B2E" w:rsidRPr="00EB027E" w:rsidRDefault="00EB027E" w:rsidP="00EB027E">
      <w:pPr>
        <w:rPr>
          <w:color w:val="FFFFFF" w:themeColor="background1"/>
        </w:rPr>
      </w:pPr>
      <w:bookmarkStart w:id="75" w:name="_Toc224458930"/>
      <w:r w:rsidRPr="00EB027E">
        <w:rPr>
          <w:color w:val="FFFFFF" w:themeColor="background1"/>
        </w:rPr>
        <w:t xml:space="preserve">Table </w:t>
      </w:r>
      <w:r w:rsidRPr="00EB027E">
        <w:rPr>
          <w:color w:val="FFFFFF" w:themeColor="background1"/>
        </w:rPr>
        <w:fldChar w:fldCharType="begin"/>
      </w:r>
      <w:r w:rsidRPr="00EB027E">
        <w:rPr>
          <w:color w:val="FFFFFF" w:themeColor="background1"/>
        </w:rPr>
        <w:instrText xml:space="preserve"> SEQ Table \* ARABIC </w:instrText>
      </w:r>
      <w:r w:rsidRPr="00EB027E">
        <w:rPr>
          <w:color w:val="FFFFFF" w:themeColor="background1"/>
        </w:rPr>
        <w:fldChar w:fldCharType="separate"/>
      </w:r>
      <w:r w:rsidR="00B4126D">
        <w:rPr>
          <w:noProof/>
          <w:color w:val="FFFFFF" w:themeColor="background1"/>
        </w:rPr>
        <w:t>3</w:t>
      </w:r>
      <w:r w:rsidRPr="00EB027E">
        <w:rPr>
          <w:color w:val="FFFFFF" w:themeColor="background1"/>
        </w:rPr>
        <w:fldChar w:fldCharType="end"/>
      </w:r>
      <w:r w:rsidRPr="00EB027E">
        <w:rPr>
          <w:color w:val="FFFFFF" w:themeColor="background1"/>
        </w:rPr>
        <w:t>. End of Freshman Year GPA</w:t>
      </w:r>
      <w:bookmarkEnd w:id="75"/>
    </w:p>
    <w:p w14:paraId="4562C530" w14:textId="7933A6FE" w:rsidR="00802748" w:rsidRDefault="00802748" w:rsidP="00802748"/>
    <w:p w14:paraId="4D9A45F9" w14:textId="77777777" w:rsidR="00802748" w:rsidRPr="00802748" w:rsidRDefault="00802748" w:rsidP="00802748"/>
    <w:p w14:paraId="70889437" w14:textId="01E83C6D" w:rsidR="00EE10C8" w:rsidRPr="00EE10C8" w:rsidRDefault="00EE10C8" w:rsidP="00EE10C8">
      <w:pPr>
        <w:pStyle w:val="Heading3"/>
        <w:rPr>
          <w:rFonts w:cs="Times New Roman"/>
        </w:rPr>
      </w:pPr>
      <w:bookmarkStart w:id="76" w:name="_Toc224458912"/>
      <w:r>
        <w:rPr>
          <w:rFonts w:cs="Times New Roman"/>
        </w:rPr>
        <w:lastRenderedPageBreak/>
        <w:t>Research Question 3</w:t>
      </w:r>
      <w:bookmarkEnd w:id="76"/>
    </w:p>
    <w:p w14:paraId="6C09BFFB" w14:textId="323C940E" w:rsidR="00D84B90" w:rsidRPr="00127357" w:rsidRDefault="00EE10C8" w:rsidP="00D84B90">
      <w:pPr>
        <w:ind w:firstLine="720"/>
        <w:rPr>
          <w:rFonts w:cs="Times New Roman"/>
          <w:color w:val="000000" w:themeColor="text1"/>
          <w:szCs w:val="24"/>
        </w:rPr>
      </w:pPr>
      <w:r w:rsidRPr="009C1AA0">
        <w:rPr>
          <w:rFonts w:cs="Times New Roman"/>
          <w:color w:val="000000" w:themeColor="text1"/>
          <w:szCs w:val="24"/>
        </w:rPr>
        <w:t>R</w:t>
      </w:r>
      <w:r w:rsidR="00D84B90" w:rsidRPr="009C1AA0">
        <w:rPr>
          <w:rFonts w:cs="Times New Roman"/>
          <w:color w:val="000000" w:themeColor="text1"/>
          <w:szCs w:val="24"/>
        </w:rPr>
        <w:t>Q 3: Is there a significant difference in the enrollment status (part-time or full-time) between students that participated in dual enrollment while in high school and those students that did not participate in dual enrollment?</w:t>
      </w:r>
    </w:p>
    <w:p w14:paraId="4D1700E9" w14:textId="1470B6AB" w:rsidR="00D84B90" w:rsidRDefault="00D84B90" w:rsidP="00D84B90">
      <w:pPr>
        <w:rPr>
          <w:rFonts w:cs="Times New Roman"/>
          <w:color w:val="000000" w:themeColor="text1"/>
          <w:szCs w:val="24"/>
        </w:rPr>
      </w:pPr>
      <w:r w:rsidRPr="00127357">
        <w:rPr>
          <w:rFonts w:cs="Times New Roman"/>
          <w:color w:val="000000" w:themeColor="text1"/>
          <w:szCs w:val="24"/>
        </w:rPr>
        <w:tab/>
        <w:t>H</w:t>
      </w:r>
      <w:r w:rsidRPr="00127357">
        <w:rPr>
          <w:rFonts w:cs="Times New Roman"/>
          <w:color w:val="000000" w:themeColor="text1"/>
          <w:szCs w:val="24"/>
          <w:vertAlign w:val="subscript"/>
        </w:rPr>
        <w:t>o</w:t>
      </w:r>
      <w:r w:rsidRPr="00127357">
        <w:rPr>
          <w:rFonts w:cs="Times New Roman"/>
          <w:color w:val="000000" w:themeColor="text1"/>
          <w:szCs w:val="24"/>
        </w:rPr>
        <w:t>3: There is no significant difference in the enrollment status (part-time or full-time) between students that participated in dual enrollment while in high school and those students that did not participate in dual enrollment?</w:t>
      </w:r>
    </w:p>
    <w:p w14:paraId="7C770D5E" w14:textId="11DA72C0" w:rsidR="005C2C48" w:rsidRDefault="00940A8B" w:rsidP="00DF36F1">
      <w:pPr>
        <w:spacing w:after="160"/>
        <w:ind w:firstLine="720"/>
        <w:rPr>
          <w:rFonts w:cs="Times New Roman"/>
          <w:szCs w:val="24"/>
        </w:rPr>
      </w:pPr>
      <w:r>
        <w:rPr>
          <w:rFonts w:cs="Times New Roman"/>
          <w:color w:val="000000" w:themeColor="text1"/>
          <w:spacing w:val="3"/>
          <w:szCs w:val="24"/>
        </w:rPr>
        <w:t xml:space="preserve">A two-way contingency table analysis was conducted to evaluate whether there was a significant </w:t>
      </w:r>
      <w:r w:rsidRPr="00127357">
        <w:rPr>
          <w:rFonts w:cs="Times New Roman"/>
          <w:color w:val="000000" w:themeColor="text1"/>
          <w:szCs w:val="24"/>
        </w:rPr>
        <w:t>difference in the enrollment status (part-time or full-time) between students that participated in dual enrollment while in high school and those students that did not participate in dual enrollment</w:t>
      </w:r>
      <w:r>
        <w:rPr>
          <w:rFonts w:cs="Times New Roman"/>
        </w:rPr>
        <w:t xml:space="preserve">. The two variables were dual enrollment (no </w:t>
      </w:r>
      <w:r w:rsidR="00081383">
        <w:rPr>
          <w:rFonts w:cs="Times New Roman"/>
        </w:rPr>
        <w:t>or</w:t>
      </w:r>
      <w:r>
        <w:rPr>
          <w:rFonts w:cs="Times New Roman"/>
        </w:rPr>
        <w:t xml:space="preserve"> yes) and enrollment status (part-time or full-time). Dual enrollment and </w:t>
      </w:r>
      <w:r w:rsidR="004E21B6">
        <w:rPr>
          <w:rFonts w:cs="Times New Roman"/>
        </w:rPr>
        <w:t>enrollment status</w:t>
      </w:r>
      <w:r>
        <w:rPr>
          <w:rFonts w:cs="Times New Roman"/>
        </w:rPr>
        <w:t xml:space="preserve"> were found to be significantly related, Pearson </w:t>
      </w:r>
      <w:r w:rsidRPr="00E52AAD">
        <w:rPr>
          <w:rFonts w:cs="Times New Roman"/>
          <w:szCs w:val="24"/>
        </w:rPr>
        <w:t>χ</w:t>
      </w:r>
      <w:r w:rsidRPr="00E52AAD">
        <w:rPr>
          <w:rFonts w:cs="Times New Roman"/>
          <w:szCs w:val="24"/>
          <w:vertAlign w:val="superscript"/>
        </w:rPr>
        <w:t>2</w:t>
      </w:r>
      <w:r>
        <w:rPr>
          <w:rFonts w:cs="Times New Roman"/>
          <w:color w:val="000000" w:themeColor="text1"/>
          <w:spacing w:val="3"/>
          <w:szCs w:val="24"/>
        </w:rPr>
        <w:t>(2, N</w:t>
      </w:r>
      <w:r w:rsidR="00081383">
        <w:rPr>
          <w:rFonts w:cs="Times New Roman"/>
          <w:color w:val="000000" w:themeColor="text1"/>
          <w:spacing w:val="3"/>
          <w:szCs w:val="24"/>
        </w:rPr>
        <w:t xml:space="preserve"> </w:t>
      </w:r>
      <w:r>
        <w:rPr>
          <w:rFonts w:cs="Times New Roman"/>
          <w:color w:val="000000" w:themeColor="text1"/>
          <w:spacing w:val="3"/>
          <w:szCs w:val="24"/>
        </w:rPr>
        <w:t>=</w:t>
      </w:r>
      <w:r w:rsidR="00081383">
        <w:rPr>
          <w:rFonts w:cs="Times New Roman"/>
          <w:color w:val="000000" w:themeColor="text1"/>
          <w:spacing w:val="3"/>
          <w:szCs w:val="24"/>
        </w:rPr>
        <w:t xml:space="preserve"> </w:t>
      </w:r>
      <w:r>
        <w:rPr>
          <w:rFonts w:cs="Times New Roman"/>
          <w:color w:val="000000" w:themeColor="text1"/>
          <w:spacing w:val="3"/>
          <w:szCs w:val="24"/>
        </w:rPr>
        <w:t xml:space="preserve">2078) = </w:t>
      </w:r>
      <w:r w:rsidR="004E21B6">
        <w:rPr>
          <w:rFonts w:cs="Times New Roman"/>
          <w:color w:val="000000" w:themeColor="text1"/>
          <w:spacing w:val="3"/>
          <w:szCs w:val="24"/>
        </w:rPr>
        <w:t>6.9</w:t>
      </w:r>
      <w:r w:rsidR="001C6EBB">
        <w:rPr>
          <w:rFonts w:cs="Times New Roman"/>
          <w:color w:val="000000" w:themeColor="text1"/>
          <w:spacing w:val="3"/>
          <w:szCs w:val="24"/>
        </w:rPr>
        <w:t>1</w:t>
      </w:r>
      <w:r>
        <w:rPr>
          <w:rFonts w:cs="Times New Roman"/>
          <w:color w:val="000000" w:themeColor="text1"/>
          <w:spacing w:val="3"/>
          <w:szCs w:val="24"/>
        </w:rPr>
        <w:t xml:space="preserve">, p </w:t>
      </w:r>
      <w:r w:rsidR="004E21B6">
        <w:rPr>
          <w:rFonts w:cs="Times New Roman"/>
          <w:szCs w:val="24"/>
        </w:rPr>
        <w:t xml:space="preserve">= </w:t>
      </w:r>
      <w:r w:rsidRPr="00E52AAD">
        <w:rPr>
          <w:rFonts w:cs="Times New Roman"/>
          <w:szCs w:val="24"/>
        </w:rPr>
        <w:t>.0</w:t>
      </w:r>
      <w:r w:rsidR="004E21B6">
        <w:rPr>
          <w:rFonts w:cs="Times New Roman"/>
          <w:szCs w:val="24"/>
        </w:rPr>
        <w:t>32</w:t>
      </w:r>
      <w:r>
        <w:rPr>
          <w:rFonts w:cs="Times New Roman"/>
          <w:szCs w:val="24"/>
        </w:rPr>
        <w:t>, Cramer’s V = .0</w:t>
      </w:r>
      <w:r w:rsidR="001C6EBB">
        <w:rPr>
          <w:rFonts w:cs="Times New Roman"/>
          <w:szCs w:val="24"/>
        </w:rPr>
        <w:t>6</w:t>
      </w:r>
      <w:r>
        <w:rPr>
          <w:rFonts w:cs="Times New Roman"/>
          <w:szCs w:val="24"/>
        </w:rPr>
        <w:t xml:space="preserve">. Therefore, the null hypothesis </w:t>
      </w:r>
      <w:r w:rsidR="003019CC" w:rsidRPr="00127357">
        <w:rPr>
          <w:rFonts w:cs="Times New Roman"/>
          <w:color w:val="000000" w:themeColor="text1"/>
          <w:szCs w:val="24"/>
        </w:rPr>
        <w:t>H</w:t>
      </w:r>
      <w:r w:rsidR="003019CC" w:rsidRPr="00127357">
        <w:rPr>
          <w:rFonts w:cs="Times New Roman"/>
          <w:color w:val="000000" w:themeColor="text1"/>
          <w:szCs w:val="24"/>
          <w:vertAlign w:val="subscript"/>
        </w:rPr>
        <w:t>o</w:t>
      </w:r>
      <w:r w:rsidR="003019CC" w:rsidRPr="00127357">
        <w:rPr>
          <w:rFonts w:cs="Times New Roman"/>
          <w:color w:val="000000" w:themeColor="text1"/>
          <w:szCs w:val="24"/>
        </w:rPr>
        <w:t>3</w:t>
      </w:r>
      <w:r w:rsidR="003019CC">
        <w:rPr>
          <w:rFonts w:cs="Times New Roman"/>
          <w:color w:val="000000" w:themeColor="text1"/>
          <w:szCs w:val="24"/>
        </w:rPr>
        <w:t xml:space="preserve"> </w:t>
      </w:r>
      <w:r>
        <w:rPr>
          <w:rFonts w:cs="Times New Roman"/>
          <w:szCs w:val="24"/>
        </w:rPr>
        <w:t xml:space="preserve">was rejected. </w:t>
      </w:r>
      <w:r w:rsidR="00DD6EF9">
        <w:rPr>
          <w:rFonts w:cs="Times New Roman"/>
          <w:szCs w:val="24"/>
        </w:rPr>
        <w:t>In general, the results suggest that s</w:t>
      </w:r>
      <w:r>
        <w:rPr>
          <w:rFonts w:cs="Times New Roman"/>
          <w:szCs w:val="24"/>
        </w:rPr>
        <w:t xml:space="preserve">tudents who took dual enrollment were significantly more likely </w:t>
      </w:r>
      <w:r w:rsidR="003019CC">
        <w:rPr>
          <w:rFonts w:cs="Times New Roman"/>
          <w:szCs w:val="24"/>
        </w:rPr>
        <w:t xml:space="preserve">to have full-time enrollment status than those students </w:t>
      </w:r>
      <w:r>
        <w:rPr>
          <w:rFonts w:cs="Times New Roman"/>
          <w:szCs w:val="24"/>
        </w:rPr>
        <w:t xml:space="preserve">who did not take dual enrollment. See Figure </w:t>
      </w:r>
      <w:r w:rsidR="000232E0">
        <w:rPr>
          <w:rFonts w:cs="Times New Roman"/>
          <w:szCs w:val="24"/>
        </w:rPr>
        <w:t>3</w:t>
      </w:r>
      <w:r w:rsidR="009A6168">
        <w:rPr>
          <w:rFonts w:cs="Times New Roman"/>
          <w:szCs w:val="24"/>
        </w:rPr>
        <w:t xml:space="preserve"> and </w:t>
      </w:r>
      <w:r w:rsidR="007A319F">
        <w:rPr>
          <w:rFonts w:cs="Times New Roman"/>
          <w:szCs w:val="24"/>
        </w:rPr>
        <w:t>T</w:t>
      </w:r>
      <w:r w:rsidR="009A6168">
        <w:rPr>
          <w:rFonts w:cs="Times New Roman"/>
          <w:szCs w:val="24"/>
        </w:rPr>
        <w:t>able 4</w:t>
      </w:r>
      <w:r>
        <w:rPr>
          <w:rFonts w:cs="Times New Roman"/>
          <w:szCs w:val="24"/>
        </w:rPr>
        <w:t xml:space="preserve"> for visual representation of this finding. </w:t>
      </w:r>
    </w:p>
    <w:p w14:paraId="6CA8B809" w14:textId="1FA92E41" w:rsidR="00DF36F1" w:rsidRDefault="00DF36F1" w:rsidP="00DF36F1">
      <w:pPr>
        <w:spacing w:after="160"/>
        <w:ind w:firstLine="720"/>
        <w:rPr>
          <w:rFonts w:cs="Times New Roman"/>
          <w:szCs w:val="24"/>
        </w:rPr>
      </w:pPr>
    </w:p>
    <w:p w14:paraId="38602631" w14:textId="5BA5F094" w:rsidR="00DF36F1" w:rsidRDefault="00DF36F1" w:rsidP="00DF36F1">
      <w:pPr>
        <w:spacing w:after="160"/>
        <w:ind w:firstLine="720"/>
        <w:rPr>
          <w:rFonts w:cs="Times New Roman"/>
          <w:szCs w:val="24"/>
        </w:rPr>
      </w:pPr>
    </w:p>
    <w:p w14:paraId="080B4240" w14:textId="32F9349E" w:rsidR="00DF36F1" w:rsidRDefault="00DF36F1" w:rsidP="00DF36F1">
      <w:pPr>
        <w:spacing w:after="160"/>
        <w:ind w:firstLine="720"/>
        <w:rPr>
          <w:rFonts w:cs="Times New Roman"/>
          <w:szCs w:val="24"/>
        </w:rPr>
      </w:pPr>
    </w:p>
    <w:p w14:paraId="5E889948" w14:textId="0470DC7C" w:rsidR="00DF36F1" w:rsidRDefault="00DF36F1" w:rsidP="00802748">
      <w:pPr>
        <w:spacing w:after="160"/>
        <w:rPr>
          <w:rFonts w:cs="Times New Roman"/>
          <w:szCs w:val="24"/>
        </w:rPr>
      </w:pPr>
    </w:p>
    <w:p w14:paraId="78C74561" w14:textId="0FBD8D42" w:rsidR="007A319F" w:rsidRDefault="007A319F" w:rsidP="00802748">
      <w:pPr>
        <w:spacing w:after="160"/>
        <w:rPr>
          <w:rFonts w:cs="Times New Roman"/>
          <w:szCs w:val="24"/>
        </w:rPr>
      </w:pPr>
    </w:p>
    <w:p w14:paraId="75E0C98E" w14:textId="77777777" w:rsidR="007A319F" w:rsidRDefault="007A319F" w:rsidP="00802748">
      <w:pPr>
        <w:spacing w:after="160"/>
        <w:rPr>
          <w:rFonts w:cs="Times New Roman"/>
          <w:szCs w:val="24"/>
        </w:rPr>
      </w:pPr>
    </w:p>
    <w:p w14:paraId="3F250617" w14:textId="65DA4C62" w:rsidR="003019CC" w:rsidRPr="00C534AC" w:rsidRDefault="003019CC" w:rsidP="00C534AC">
      <w:pPr>
        <w:rPr>
          <w:b/>
          <w:bCs/>
        </w:rPr>
      </w:pPr>
      <w:r w:rsidRPr="00C534AC">
        <w:rPr>
          <w:b/>
          <w:bCs/>
        </w:rPr>
        <w:lastRenderedPageBreak/>
        <w:t xml:space="preserve">Figure </w:t>
      </w:r>
      <w:r w:rsidR="000232E0" w:rsidRPr="00C534AC">
        <w:rPr>
          <w:b/>
          <w:bCs/>
        </w:rPr>
        <w:t>3</w:t>
      </w:r>
    </w:p>
    <w:p w14:paraId="02B13781" w14:textId="6D767F51" w:rsidR="004B4302" w:rsidRPr="004B4302" w:rsidRDefault="004B4302" w:rsidP="004B4302">
      <w:pPr>
        <w:rPr>
          <w:i/>
          <w:iCs/>
        </w:rPr>
      </w:pPr>
      <w:r>
        <w:rPr>
          <w:i/>
          <w:iCs/>
        </w:rPr>
        <w:t>Enrollment Status by Dual Enrollment Status</w:t>
      </w:r>
    </w:p>
    <w:p w14:paraId="431C7139" w14:textId="3C863EC9" w:rsidR="00940A8B" w:rsidRDefault="00C51DBC" w:rsidP="00580AA9">
      <w:pPr>
        <w:autoSpaceDE w:val="0"/>
        <w:autoSpaceDN w:val="0"/>
        <w:adjustRightInd w:val="0"/>
        <w:spacing w:line="240" w:lineRule="auto"/>
        <w:rPr>
          <w:rFonts w:cs="Times New Roman"/>
          <w:szCs w:val="24"/>
        </w:rPr>
      </w:pPr>
      <w:r>
        <w:rPr>
          <w:rFonts w:cs="Times New Roman"/>
          <w:noProof/>
          <w:szCs w:val="24"/>
        </w:rPr>
        <w:drawing>
          <wp:inline distT="0" distB="0" distL="0" distR="0" wp14:anchorId="77746F26" wp14:editId="21C64EC6">
            <wp:extent cx="5943600" cy="3492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2500"/>
                    </a:xfrm>
                    <a:prstGeom prst="rect">
                      <a:avLst/>
                    </a:prstGeom>
                    <a:noFill/>
                    <a:ln>
                      <a:noFill/>
                    </a:ln>
                  </pic:spPr>
                </pic:pic>
              </a:graphicData>
            </a:graphic>
          </wp:inline>
        </w:drawing>
      </w:r>
    </w:p>
    <w:p w14:paraId="2BD8ADFD" w14:textId="388BD9C8" w:rsidR="002F5906" w:rsidRPr="00701041" w:rsidRDefault="00701041" w:rsidP="00701041">
      <w:pPr>
        <w:keepNext/>
        <w:rPr>
          <w:rFonts w:cs="Times New Roman"/>
          <w:color w:val="FFFFFF" w:themeColor="background1"/>
          <w:szCs w:val="24"/>
        </w:rPr>
      </w:pPr>
      <w:bookmarkStart w:id="77" w:name="_Toc224458938"/>
      <w:r w:rsidRPr="00701041">
        <w:rPr>
          <w:color w:val="FFFFFF" w:themeColor="background1"/>
        </w:rPr>
        <w:t xml:space="preserve">Figure </w:t>
      </w:r>
      <w:r w:rsidRPr="00701041">
        <w:rPr>
          <w:color w:val="FFFFFF" w:themeColor="background1"/>
        </w:rPr>
        <w:fldChar w:fldCharType="begin"/>
      </w:r>
      <w:r w:rsidRPr="00701041">
        <w:rPr>
          <w:color w:val="FFFFFF" w:themeColor="background1"/>
        </w:rPr>
        <w:instrText xml:space="preserve"> SEQ Figure \* ARABIC </w:instrText>
      </w:r>
      <w:r w:rsidRPr="00701041">
        <w:rPr>
          <w:color w:val="FFFFFF" w:themeColor="background1"/>
        </w:rPr>
        <w:fldChar w:fldCharType="separate"/>
      </w:r>
      <w:r w:rsidR="00B4126D">
        <w:rPr>
          <w:noProof/>
          <w:color w:val="FFFFFF" w:themeColor="background1"/>
        </w:rPr>
        <w:t>3</w:t>
      </w:r>
      <w:r w:rsidRPr="00701041">
        <w:rPr>
          <w:color w:val="FFFFFF" w:themeColor="background1"/>
        </w:rPr>
        <w:fldChar w:fldCharType="end"/>
      </w:r>
      <w:r w:rsidRPr="00701041">
        <w:rPr>
          <w:color w:val="FFFFFF" w:themeColor="background1"/>
        </w:rPr>
        <w:t>. Enrollment Status by Dual Enrollment Status</w:t>
      </w:r>
      <w:bookmarkEnd w:id="77"/>
    </w:p>
    <w:p w14:paraId="303DAEE2" w14:textId="77777777" w:rsidR="005C2C48" w:rsidRPr="00C534AC" w:rsidRDefault="005C2C48" w:rsidP="00C534AC">
      <w:pPr>
        <w:rPr>
          <w:b/>
          <w:bCs/>
        </w:rPr>
      </w:pPr>
      <w:r w:rsidRPr="00C534AC">
        <w:rPr>
          <w:b/>
          <w:bCs/>
        </w:rPr>
        <w:t>Table 4</w:t>
      </w:r>
    </w:p>
    <w:p w14:paraId="04619FD7" w14:textId="73975873" w:rsidR="005C2C48" w:rsidRPr="00413C44" w:rsidRDefault="005C2C48" w:rsidP="00413C44">
      <w:pPr>
        <w:rPr>
          <w:i/>
          <w:iCs/>
        </w:rPr>
      </w:pPr>
      <w:r>
        <w:rPr>
          <w:i/>
          <w:iCs/>
        </w:rPr>
        <w:t>Enrollment Status by Dual Enrollment Status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3144"/>
        <w:gridCol w:w="3144"/>
      </w:tblGrid>
      <w:tr w:rsidR="00413C44" w14:paraId="1C4F4B23" w14:textId="77777777" w:rsidTr="00EC2CFC">
        <w:tc>
          <w:tcPr>
            <w:tcW w:w="3062" w:type="dxa"/>
            <w:tcBorders>
              <w:top w:val="single" w:sz="4" w:space="0" w:color="auto"/>
              <w:bottom w:val="single" w:sz="4" w:space="0" w:color="auto"/>
            </w:tcBorders>
          </w:tcPr>
          <w:p w14:paraId="72E7C7FF" w14:textId="77777777" w:rsidR="00413C44" w:rsidRDefault="00413C44" w:rsidP="00EC2CFC">
            <w:pPr>
              <w:spacing w:line="360" w:lineRule="auto"/>
            </w:pPr>
          </w:p>
        </w:tc>
        <w:tc>
          <w:tcPr>
            <w:tcW w:w="3144" w:type="dxa"/>
            <w:tcBorders>
              <w:top w:val="single" w:sz="4" w:space="0" w:color="auto"/>
              <w:bottom w:val="single" w:sz="4" w:space="0" w:color="auto"/>
            </w:tcBorders>
          </w:tcPr>
          <w:p w14:paraId="40F08237" w14:textId="77777777" w:rsidR="00413C44" w:rsidRDefault="00413C44" w:rsidP="00EC2CFC">
            <w:pPr>
              <w:spacing w:line="360" w:lineRule="auto"/>
              <w:jc w:val="center"/>
            </w:pPr>
            <w:r>
              <w:t>Dual Enrollment Student</w:t>
            </w:r>
          </w:p>
        </w:tc>
        <w:tc>
          <w:tcPr>
            <w:tcW w:w="3144" w:type="dxa"/>
            <w:tcBorders>
              <w:top w:val="single" w:sz="4" w:space="0" w:color="auto"/>
              <w:bottom w:val="single" w:sz="4" w:space="0" w:color="auto"/>
            </w:tcBorders>
          </w:tcPr>
          <w:p w14:paraId="65C04621" w14:textId="77777777" w:rsidR="00413C44" w:rsidRDefault="00413C44" w:rsidP="00EC2CFC">
            <w:pPr>
              <w:spacing w:line="360" w:lineRule="auto"/>
              <w:jc w:val="center"/>
            </w:pPr>
            <w:r>
              <w:t>Non-Dual Enrollment Student</w:t>
            </w:r>
          </w:p>
        </w:tc>
      </w:tr>
      <w:tr w:rsidR="00413C44" w14:paraId="1CE92704" w14:textId="77777777" w:rsidTr="00EC2CFC">
        <w:tc>
          <w:tcPr>
            <w:tcW w:w="3062" w:type="dxa"/>
            <w:tcBorders>
              <w:top w:val="single" w:sz="4" w:space="0" w:color="auto"/>
            </w:tcBorders>
          </w:tcPr>
          <w:p w14:paraId="29024DD1" w14:textId="68B8A223" w:rsidR="00413C44" w:rsidRDefault="00413C44" w:rsidP="00EC2CFC">
            <w:pPr>
              <w:spacing w:line="360" w:lineRule="auto"/>
            </w:pPr>
            <w:r>
              <w:t>Full Time</w:t>
            </w:r>
          </w:p>
        </w:tc>
        <w:tc>
          <w:tcPr>
            <w:tcW w:w="3144" w:type="dxa"/>
            <w:tcBorders>
              <w:top w:val="single" w:sz="4" w:space="0" w:color="auto"/>
            </w:tcBorders>
          </w:tcPr>
          <w:p w14:paraId="58700512" w14:textId="37BCD7D8" w:rsidR="00413C44" w:rsidRDefault="00413C44" w:rsidP="00EC2CFC">
            <w:pPr>
              <w:tabs>
                <w:tab w:val="decimal" w:pos="1509"/>
              </w:tabs>
              <w:spacing w:line="360" w:lineRule="auto"/>
            </w:pPr>
            <w:r>
              <w:t>806</w:t>
            </w:r>
          </w:p>
        </w:tc>
        <w:tc>
          <w:tcPr>
            <w:tcW w:w="3144" w:type="dxa"/>
            <w:tcBorders>
              <w:top w:val="single" w:sz="4" w:space="0" w:color="auto"/>
            </w:tcBorders>
          </w:tcPr>
          <w:p w14:paraId="5C7F5B94" w14:textId="0D27C252" w:rsidR="00413C44" w:rsidRDefault="00413C44" w:rsidP="00EC2CFC">
            <w:pPr>
              <w:tabs>
                <w:tab w:val="decimal" w:pos="1603"/>
              </w:tabs>
              <w:spacing w:line="360" w:lineRule="auto"/>
            </w:pPr>
            <w:r>
              <w:t>995</w:t>
            </w:r>
          </w:p>
        </w:tc>
      </w:tr>
      <w:tr w:rsidR="00413C44" w14:paraId="57305E0D" w14:textId="77777777" w:rsidTr="00413C44">
        <w:tc>
          <w:tcPr>
            <w:tcW w:w="3062" w:type="dxa"/>
            <w:tcBorders>
              <w:bottom w:val="nil"/>
            </w:tcBorders>
          </w:tcPr>
          <w:p w14:paraId="378A8DA9" w14:textId="24CE201A" w:rsidR="00413C44" w:rsidRDefault="00413C44" w:rsidP="00EC2CFC">
            <w:pPr>
              <w:spacing w:line="360" w:lineRule="auto"/>
            </w:pPr>
            <w:r>
              <w:t>Part Time</w:t>
            </w:r>
          </w:p>
        </w:tc>
        <w:tc>
          <w:tcPr>
            <w:tcW w:w="3144" w:type="dxa"/>
            <w:tcBorders>
              <w:bottom w:val="nil"/>
            </w:tcBorders>
          </w:tcPr>
          <w:p w14:paraId="596951A1" w14:textId="5237B1B5" w:rsidR="00413C44" w:rsidRDefault="00413C44" w:rsidP="00EC2CFC">
            <w:pPr>
              <w:tabs>
                <w:tab w:val="decimal" w:pos="1509"/>
              </w:tabs>
              <w:spacing w:line="360" w:lineRule="auto"/>
            </w:pPr>
            <w:r>
              <w:t>22</w:t>
            </w:r>
          </w:p>
        </w:tc>
        <w:tc>
          <w:tcPr>
            <w:tcW w:w="3144" w:type="dxa"/>
            <w:tcBorders>
              <w:bottom w:val="nil"/>
            </w:tcBorders>
          </w:tcPr>
          <w:p w14:paraId="386D6109" w14:textId="4B249992" w:rsidR="00413C44" w:rsidRDefault="00413C44" w:rsidP="00EC2CFC">
            <w:pPr>
              <w:tabs>
                <w:tab w:val="decimal" w:pos="1603"/>
              </w:tabs>
              <w:spacing w:line="360" w:lineRule="auto"/>
            </w:pPr>
            <w:r>
              <w:t>18</w:t>
            </w:r>
          </w:p>
        </w:tc>
      </w:tr>
      <w:tr w:rsidR="00413C44" w14:paraId="3C05654B" w14:textId="77777777" w:rsidTr="007A319F">
        <w:tc>
          <w:tcPr>
            <w:tcW w:w="3062" w:type="dxa"/>
            <w:tcBorders>
              <w:top w:val="nil"/>
              <w:bottom w:val="nil"/>
            </w:tcBorders>
          </w:tcPr>
          <w:p w14:paraId="6C2EEE9B" w14:textId="329030EC" w:rsidR="00413C44" w:rsidRDefault="00413C44" w:rsidP="00EC2CFC">
            <w:pPr>
              <w:spacing w:line="360" w:lineRule="auto"/>
            </w:pPr>
            <w:r>
              <w:t>Did not Return</w:t>
            </w:r>
          </w:p>
        </w:tc>
        <w:tc>
          <w:tcPr>
            <w:tcW w:w="3144" w:type="dxa"/>
            <w:tcBorders>
              <w:top w:val="nil"/>
              <w:bottom w:val="nil"/>
            </w:tcBorders>
          </w:tcPr>
          <w:p w14:paraId="5F8494B6" w14:textId="761B6C22" w:rsidR="00413C44" w:rsidRDefault="00413C44" w:rsidP="00EC2CFC">
            <w:pPr>
              <w:tabs>
                <w:tab w:val="decimal" w:pos="1509"/>
              </w:tabs>
              <w:spacing w:line="360" w:lineRule="auto"/>
            </w:pPr>
            <w:r>
              <w:t>88</w:t>
            </w:r>
          </w:p>
        </w:tc>
        <w:tc>
          <w:tcPr>
            <w:tcW w:w="3144" w:type="dxa"/>
            <w:tcBorders>
              <w:top w:val="nil"/>
              <w:bottom w:val="nil"/>
            </w:tcBorders>
          </w:tcPr>
          <w:p w14:paraId="7C49F33D" w14:textId="0C15B9FA" w:rsidR="00413C44" w:rsidRDefault="00413C44" w:rsidP="00EC2CFC">
            <w:pPr>
              <w:tabs>
                <w:tab w:val="decimal" w:pos="1603"/>
              </w:tabs>
              <w:spacing w:line="360" w:lineRule="auto"/>
            </w:pPr>
            <w:r>
              <w:t>149</w:t>
            </w:r>
          </w:p>
        </w:tc>
      </w:tr>
      <w:tr w:rsidR="00413C44" w14:paraId="401059B4" w14:textId="77777777" w:rsidTr="007A319F">
        <w:tc>
          <w:tcPr>
            <w:tcW w:w="3062" w:type="dxa"/>
            <w:tcBorders>
              <w:top w:val="nil"/>
              <w:bottom w:val="single" w:sz="4" w:space="0" w:color="auto"/>
            </w:tcBorders>
          </w:tcPr>
          <w:p w14:paraId="7594F302" w14:textId="77777777" w:rsidR="00413C44" w:rsidRDefault="00413C44" w:rsidP="00EC2CFC">
            <w:pPr>
              <w:spacing w:line="360" w:lineRule="auto"/>
            </w:pPr>
            <w:r>
              <w:t>Total</w:t>
            </w:r>
          </w:p>
        </w:tc>
        <w:tc>
          <w:tcPr>
            <w:tcW w:w="3144" w:type="dxa"/>
            <w:tcBorders>
              <w:top w:val="nil"/>
              <w:bottom w:val="single" w:sz="4" w:space="0" w:color="auto"/>
            </w:tcBorders>
          </w:tcPr>
          <w:p w14:paraId="6E3B8F35" w14:textId="77777777" w:rsidR="00413C44" w:rsidRDefault="00413C44" w:rsidP="00EC2CFC">
            <w:pPr>
              <w:tabs>
                <w:tab w:val="decimal" w:pos="1509"/>
              </w:tabs>
              <w:spacing w:line="360" w:lineRule="auto"/>
            </w:pPr>
            <w:r>
              <w:t>916</w:t>
            </w:r>
          </w:p>
        </w:tc>
        <w:tc>
          <w:tcPr>
            <w:tcW w:w="3144" w:type="dxa"/>
            <w:tcBorders>
              <w:top w:val="nil"/>
              <w:bottom w:val="single" w:sz="4" w:space="0" w:color="auto"/>
            </w:tcBorders>
          </w:tcPr>
          <w:p w14:paraId="7DF1CB47" w14:textId="77777777" w:rsidR="00413C44" w:rsidRDefault="00413C44" w:rsidP="00EC2CFC">
            <w:pPr>
              <w:tabs>
                <w:tab w:val="decimal" w:pos="1603"/>
              </w:tabs>
              <w:spacing w:line="360" w:lineRule="auto"/>
            </w:pPr>
            <w:r>
              <w:t>1162</w:t>
            </w:r>
          </w:p>
        </w:tc>
      </w:tr>
    </w:tbl>
    <w:p w14:paraId="42065A2A" w14:textId="77777777" w:rsidR="002F5906" w:rsidRDefault="00EB027E" w:rsidP="00EB027E">
      <w:pPr>
        <w:rPr>
          <w:color w:val="FFFFFF" w:themeColor="background1"/>
        </w:rPr>
      </w:pPr>
      <w:r w:rsidRPr="00EB027E">
        <w:rPr>
          <w:color w:val="FFFFFF" w:themeColor="background1"/>
        </w:rPr>
        <w:t>T</w:t>
      </w:r>
    </w:p>
    <w:p w14:paraId="7D1A6AFC" w14:textId="43EC98A3" w:rsidR="00EB027E" w:rsidRPr="00EB027E" w:rsidRDefault="00EB027E" w:rsidP="00EB027E">
      <w:pPr>
        <w:rPr>
          <w:color w:val="FFFFFF" w:themeColor="background1"/>
        </w:rPr>
      </w:pPr>
      <w:bookmarkStart w:id="78" w:name="_Toc224458931"/>
      <w:r w:rsidRPr="00EB027E">
        <w:rPr>
          <w:color w:val="FFFFFF" w:themeColor="background1"/>
        </w:rPr>
        <w:t xml:space="preserve">able </w:t>
      </w:r>
      <w:r w:rsidRPr="00EB027E">
        <w:rPr>
          <w:color w:val="FFFFFF" w:themeColor="background1"/>
        </w:rPr>
        <w:fldChar w:fldCharType="begin"/>
      </w:r>
      <w:r w:rsidRPr="00EB027E">
        <w:rPr>
          <w:color w:val="FFFFFF" w:themeColor="background1"/>
        </w:rPr>
        <w:instrText xml:space="preserve"> SEQ Table \* ARABIC </w:instrText>
      </w:r>
      <w:r w:rsidRPr="00EB027E">
        <w:rPr>
          <w:color w:val="FFFFFF" w:themeColor="background1"/>
        </w:rPr>
        <w:fldChar w:fldCharType="separate"/>
      </w:r>
      <w:r w:rsidR="00B4126D">
        <w:rPr>
          <w:noProof/>
          <w:color w:val="FFFFFF" w:themeColor="background1"/>
        </w:rPr>
        <w:t>4</w:t>
      </w:r>
      <w:r w:rsidRPr="00EB027E">
        <w:rPr>
          <w:color w:val="FFFFFF" w:themeColor="background1"/>
        </w:rPr>
        <w:fldChar w:fldCharType="end"/>
      </w:r>
      <w:r w:rsidRPr="00EB027E">
        <w:rPr>
          <w:color w:val="FFFFFF" w:themeColor="background1"/>
        </w:rPr>
        <w:t>. Enrollment Status by Dual Enrollment Status</w:t>
      </w:r>
      <w:bookmarkEnd w:id="78"/>
    </w:p>
    <w:p w14:paraId="1AA8AF8D" w14:textId="66A86090" w:rsidR="00EE10C8" w:rsidRPr="00EE10C8" w:rsidRDefault="00EE10C8" w:rsidP="00EE10C8">
      <w:pPr>
        <w:pStyle w:val="Heading3"/>
        <w:rPr>
          <w:rFonts w:cs="Times New Roman"/>
        </w:rPr>
      </w:pPr>
      <w:bookmarkStart w:id="79" w:name="_Toc224458913"/>
      <w:r>
        <w:rPr>
          <w:rFonts w:cs="Times New Roman"/>
        </w:rPr>
        <w:lastRenderedPageBreak/>
        <w:t>Research Question 4</w:t>
      </w:r>
      <w:bookmarkEnd w:id="79"/>
    </w:p>
    <w:p w14:paraId="068AC6E3" w14:textId="7F6C4406" w:rsidR="00D84B90" w:rsidRPr="00440C73" w:rsidRDefault="00D84B90" w:rsidP="00D84B90">
      <w:pPr>
        <w:ind w:firstLine="720"/>
        <w:rPr>
          <w:rFonts w:cs="Times New Roman"/>
          <w:color w:val="000000" w:themeColor="text1"/>
          <w:szCs w:val="24"/>
        </w:rPr>
      </w:pPr>
      <w:r w:rsidRPr="00535B10">
        <w:rPr>
          <w:rFonts w:cs="Times New Roman"/>
          <w:color w:val="000000" w:themeColor="text1"/>
          <w:szCs w:val="24"/>
        </w:rPr>
        <w:t xml:space="preserve">RQ 4: </w:t>
      </w:r>
      <w:r w:rsidRPr="00535B10">
        <w:rPr>
          <w:rFonts w:cs="Times New Roman"/>
        </w:rPr>
        <w:t xml:space="preserve">Is there a significant </w:t>
      </w:r>
      <w:bookmarkStart w:id="80" w:name="_Hlk221214455"/>
      <w:r w:rsidRPr="00535B10">
        <w:rPr>
          <w:rFonts w:cs="Times New Roman"/>
        </w:rPr>
        <w:t>difference in retention rate (</w:t>
      </w:r>
      <w:r w:rsidR="00525B86" w:rsidRPr="00535B10">
        <w:rPr>
          <w:rFonts w:cs="Times New Roman"/>
        </w:rPr>
        <w:t>f</w:t>
      </w:r>
      <w:r w:rsidRPr="00535B10">
        <w:rPr>
          <w:rFonts w:cs="Times New Roman"/>
        </w:rPr>
        <w:t xml:space="preserve">all to </w:t>
      </w:r>
      <w:r w:rsidR="00525B86" w:rsidRPr="00535B10">
        <w:rPr>
          <w:rFonts w:cs="Times New Roman"/>
        </w:rPr>
        <w:t>s</w:t>
      </w:r>
      <w:r w:rsidRPr="00535B10">
        <w:rPr>
          <w:rFonts w:cs="Times New Roman"/>
        </w:rPr>
        <w:t>pring) between students who took dual enrollment while in high school and those students that did not participate in dual enrollment</w:t>
      </w:r>
      <w:bookmarkEnd w:id="80"/>
      <w:r w:rsidRPr="00535B10">
        <w:rPr>
          <w:rFonts w:cs="Times New Roman"/>
        </w:rPr>
        <w:t>?</w:t>
      </w:r>
    </w:p>
    <w:p w14:paraId="14FC9695" w14:textId="5E4C915B" w:rsidR="00D84B90" w:rsidRDefault="00D84B90" w:rsidP="00D84B90">
      <w:pPr>
        <w:ind w:firstLine="720"/>
        <w:rPr>
          <w:rFonts w:cs="Times New Roman"/>
          <w:color w:val="000000" w:themeColor="text1"/>
          <w:szCs w:val="24"/>
        </w:rPr>
      </w:pPr>
      <w:r w:rsidRPr="00440C73">
        <w:rPr>
          <w:rFonts w:cs="Times New Roman"/>
          <w:color w:val="000000" w:themeColor="text1"/>
          <w:szCs w:val="24"/>
        </w:rPr>
        <w:t>H</w:t>
      </w:r>
      <w:r w:rsidRPr="00440C73">
        <w:rPr>
          <w:rFonts w:cs="Times New Roman"/>
          <w:color w:val="000000" w:themeColor="text1"/>
          <w:szCs w:val="24"/>
          <w:vertAlign w:val="subscript"/>
        </w:rPr>
        <w:t>o</w:t>
      </w:r>
      <w:r w:rsidRPr="00440C73">
        <w:rPr>
          <w:rFonts w:cs="Times New Roman"/>
          <w:color w:val="000000" w:themeColor="text1"/>
          <w:szCs w:val="24"/>
        </w:rPr>
        <w:t xml:space="preserve">4: There is no </w:t>
      </w:r>
      <w:r w:rsidRPr="00440C73">
        <w:rPr>
          <w:rFonts w:cs="Times New Roman"/>
        </w:rPr>
        <w:t>significant difference in retention rate (</w:t>
      </w:r>
      <w:r w:rsidR="00525B86">
        <w:rPr>
          <w:rFonts w:cs="Times New Roman"/>
        </w:rPr>
        <w:t>f</w:t>
      </w:r>
      <w:r w:rsidRPr="00440C73">
        <w:rPr>
          <w:rFonts w:cs="Times New Roman"/>
        </w:rPr>
        <w:t xml:space="preserve">all to </w:t>
      </w:r>
      <w:r w:rsidR="00525B86">
        <w:rPr>
          <w:rFonts w:cs="Times New Roman"/>
        </w:rPr>
        <w:t>s</w:t>
      </w:r>
      <w:r w:rsidRPr="00440C73">
        <w:rPr>
          <w:rFonts w:cs="Times New Roman"/>
        </w:rPr>
        <w:t>pring) between students who took dual enrollment while in high school and those students that did not participate in dual enrollment</w:t>
      </w:r>
      <w:r w:rsidRPr="00440C73">
        <w:rPr>
          <w:rFonts w:cs="Times New Roman"/>
          <w:color w:val="000000" w:themeColor="text1"/>
          <w:szCs w:val="24"/>
        </w:rPr>
        <w:t>.</w:t>
      </w:r>
    </w:p>
    <w:p w14:paraId="058471AB" w14:textId="18E382F9" w:rsidR="00B35469" w:rsidRDefault="00D44A78" w:rsidP="00D44A78">
      <w:pPr>
        <w:spacing w:after="160"/>
        <w:ind w:firstLine="720"/>
        <w:rPr>
          <w:rFonts w:cs="Times New Roman"/>
          <w:szCs w:val="24"/>
        </w:rPr>
      </w:pPr>
      <w:r>
        <w:rPr>
          <w:rFonts w:cs="Times New Roman"/>
          <w:color w:val="000000" w:themeColor="text1"/>
          <w:spacing w:val="3"/>
          <w:szCs w:val="24"/>
        </w:rPr>
        <w:t xml:space="preserve">A two-way contingency table analysis was conducted to evaluate whether there was a significant </w:t>
      </w:r>
      <w:r w:rsidRPr="002201EF">
        <w:rPr>
          <w:rFonts w:cs="Times New Roman"/>
        </w:rPr>
        <w:t>difference in retention rate (</w:t>
      </w:r>
      <w:r w:rsidR="00525B86">
        <w:rPr>
          <w:rFonts w:cs="Times New Roman"/>
        </w:rPr>
        <w:t>f</w:t>
      </w:r>
      <w:r w:rsidRPr="002201EF">
        <w:rPr>
          <w:rFonts w:cs="Times New Roman"/>
        </w:rPr>
        <w:t xml:space="preserve">all to </w:t>
      </w:r>
      <w:r w:rsidR="00525B86">
        <w:rPr>
          <w:rFonts w:cs="Times New Roman"/>
        </w:rPr>
        <w:t>s</w:t>
      </w:r>
      <w:r w:rsidRPr="002201EF">
        <w:rPr>
          <w:rFonts w:cs="Times New Roman"/>
        </w:rPr>
        <w:t xml:space="preserve">pring) </w:t>
      </w:r>
      <w:r w:rsidRPr="00440C73">
        <w:rPr>
          <w:rFonts w:cs="Times New Roman"/>
        </w:rPr>
        <w:t>between students who took dual enrollment while in high school and those students that did not participate in dual enrollment</w:t>
      </w:r>
      <w:r>
        <w:rPr>
          <w:rFonts w:cs="Times New Roman"/>
        </w:rPr>
        <w:t xml:space="preserve">. The two variables were dual enrollment (no </w:t>
      </w:r>
      <w:r w:rsidR="00081383">
        <w:rPr>
          <w:rFonts w:cs="Times New Roman"/>
        </w:rPr>
        <w:t>or</w:t>
      </w:r>
      <w:r>
        <w:rPr>
          <w:rFonts w:cs="Times New Roman"/>
        </w:rPr>
        <w:t xml:space="preserve"> yes) and retention rate (</w:t>
      </w:r>
      <w:r w:rsidR="00525B86">
        <w:rPr>
          <w:rFonts w:cs="Times New Roman"/>
        </w:rPr>
        <w:t>f</w:t>
      </w:r>
      <w:r>
        <w:rPr>
          <w:rFonts w:cs="Times New Roman"/>
        </w:rPr>
        <w:t xml:space="preserve">all to </w:t>
      </w:r>
      <w:r w:rsidR="00525B86">
        <w:rPr>
          <w:rFonts w:cs="Times New Roman"/>
        </w:rPr>
        <w:t>s</w:t>
      </w:r>
      <w:r>
        <w:rPr>
          <w:rFonts w:cs="Times New Roman"/>
        </w:rPr>
        <w:t xml:space="preserve">pring). Dual enrollment and retention rate were found to be significantly related, Pearson </w:t>
      </w:r>
      <w:r w:rsidRPr="00E52AAD">
        <w:rPr>
          <w:rFonts w:cs="Times New Roman"/>
          <w:szCs w:val="24"/>
        </w:rPr>
        <w:t>χ</w:t>
      </w:r>
      <w:r w:rsidRPr="00E52AAD">
        <w:rPr>
          <w:rFonts w:cs="Times New Roman"/>
          <w:szCs w:val="24"/>
          <w:vertAlign w:val="superscript"/>
        </w:rPr>
        <w:t>2</w:t>
      </w:r>
      <w:r>
        <w:rPr>
          <w:rFonts w:cs="Times New Roman"/>
          <w:color w:val="000000" w:themeColor="text1"/>
          <w:spacing w:val="3"/>
          <w:szCs w:val="24"/>
        </w:rPr>
        <w:t>(</w:t>
      </w:r>
      <w:r w:rsidR="00085BF2">
        <w:rPr>
          <w:rFonts w:cs="Times New Roman"/>
          <w:color w:val="000000" w:themeColor="text1"/>
          <w:spacing w:val="3"/>
          <w:szCs w:val="24"/>
        </w:rPr>
        <w:t>1</w:t>
      </w:r>
      <w:r>
        <w:rPr>
          <w:rFonts w:cs="Times New Roman"/>
          <w:color w:val="000000" w:themeColor="text1"/>
          <w:spacing w:val="3"/>
          <w:szCs w:val="24"/>
        </w:rPr>
        <w:t xml:space="preserve">, N=2078) = </w:t>
      </w:r>
      <w:r w:rsidR="00085BF2">
        <w:rPr>
          <w:rFonts w:cs="Times New Roman"/>
          <w:color w:val="000000" w:themeColor="text1"/>
          <w:spacing w:val="3"/>
          <w:szCs w:val="24"/>
        </w:rPr>
        <w:t>5.24</w:t>
      </w:r>
      <w:r>
        <w:rPr>
          <w:rFonts w:cs="Times New Roman"/>
          <w:color w:val="000000" w:themeColor="text1"/>
          <w:spacing w:val="3"/>
          <w:szCs w:val="24"/>
        </w:rPr>
        <w:t xml:space="preserve">, p </w:t>
      </w:r>
      <w:r>
        <w:rPr>
          <w:rFonts w:cs="Times New Roman"/>
          <w:szCs w:val="24"/>
        </w:rPr>
        <w:t xml:space="preserve">= </w:t>
      </w:r>
      <w:r w:rsidRPr="00E52AAD">
        <w:rPr>
          <w:rFonts w:cs="Times New Roman"/>
          <w:szCs w:val="24"/>
        </w:rPr>
        <w:t>.0</w:t>
      </w:r>
      <w:r w:rsidR="00085BF2">
        <w:rPr>
          <w:rFonts w:cs="Times New Roman"/>
          <w:szCs w:val="24"/>
        </w:rPr>
        <w:t>22</w:t>
      </w:r>
      <w:r>
        <w:rPr>
          <w:rFonts w:cs="Times New Roman"/>
          <w:szCs w:val="24"/>
        </w:rPr>
        <w:t xml:space="preserve">, Cramer’s V = .05. Therefore, the null hypothesis </w:t>
      </w:r>
      <w:r w:rsidRPr="00127357">
        <w:rPr>
          <w:rFonts w:cs="Times New Roman"/>
          <w:color w:val="000000" w:themeColor="text1"/>
          <w:szCs w:val="24"/>
        </w:rPr>
        <w:t>H</w:t>
      </w:r>
      <w:r w:rsidRPr="00127357">
        <w:rPr>
          <w:rFonts w:cs="Times New Roman"/>
          <w:color w:val="000000" w:themeColor="text1"/>
          <w:szCs w:val="24"/>
          <w:vertAlign w:val="subscript"/>
        </w:rPr>
        <w:t>o</w:t>
      </w:r>
      <w:r w:rsidR="00085BF2">
        <w:rPr>
          <w:rFonts w:cs="Times New Roman"/>
          <w:color w:val="000000" w:themeColor="text1"/>
          <w:szCs w:val="24"/>
        </w:rPr>
        <w:t>4</w:t>
      </w:r>
      <w:r>
        <w:rPr>
          <w:rFonts w:cs="Times New Roman"/>
          <w:color w:val="000000" w:themeColor="text1"/>
          <w:szCs w:val="24"/>
        </w:rPr>
        <w:t xml:space="preserve"> </w:t>
      </w:r>
      <w:r>
        <w:rPr>
          <w:rFonts w:cs="Times New Roman"/>
          <w:szCs w:val="24"/>
        </w:rPr>
        <w:t xml:space="preserve">was rejected. Students who took dual enrollment were significantly more likely to have </w:t>
      </w:r>
      <w:r w:rsidR="00085BF2">
        <w:rPr>
          <w:rFonts w:cs="Times New Roman"/>
          <w:szCs w:val="24"/>
        </w:rPr>
        <w:t>fall to spring retention</w:t>
      </w:r>
      <w:r>
        <w:rPr>
          <w:rFonts w:cs="Times New Roman"/>
          <w:szCs w:val="24"/>
        </w:rPr>
        <w:t xml:space="preserve"> than students who did not take dual enrollment. See Figure </w:t>
      </w:r>
      <w:r w:rsidR="000232E0">
        <w:rPr>
          <w:rFonts w:cs="Times New Roman"/>
          <w:szCs w:val="24"/>
        </w:rPr>
        <w:t>4</w:t>
      </w:r>
      <w:r>
        <w:rPr>
          <w:rFonts w:cs="Times New Roman"/>
          <w:szCs w:val="24"/>
        </w:rPr>
        <w:t xml:space="preserve"> </w:t>
      </w:r>
      <w:r w:rsidR="007A319F">
        <w:rPr>
          <w:rFonts w:cs="Times New Roman"/>
          <w:szCs w:val="24"/>
        </w:rPr>
        <w:t xml:space="preserve">and Table 5 </w:t>
      </w:r>
      <w:r>
        <w:rPr>
          <w:rFonts w:cs="Times New Roman"/>
          <w:szCs w:val="24"/>
        </w:rPr>
        <w:t xml:space="preserve">for visual representation of this finding. </w:t>
      </w:r>
    </w:p>
    <w:p w14:paraId="4904A312" w14:textId="51F0D702" w:rsidR="00C31F6D" w:rsidRDefault="00C31F6D" w:rsidP="00D44A78">
      <w:pPr>
        <w:spacing w:after="160"/>
        <w:ind w:firstLine="720"/>
        <w:rPr>
          <w:rFonts w:cs="Times New Roman"/>
          <w:szCs w:val="24"/>
        </w:rPr>
      </w:pPr>
    </w:p>
    <w:p w14:paraId="1F755007" w14:textId="728BF063" w:rsidR="00C31F6D" w:rsidRDefault="00C31F6D" w:rsidP="00D44A78">
      <w:pPr>
        <w:spacing w:after="160"/>
        <w:ind w:firstLine="720"/>
        <w:rPr>
          <w:rFonts w:cs="Times New Roman"/>
          <w:szCs w:val="24"/>
        </w:rPr>
      </w:pPr>
    </w:p>
    <w:p w14:paraId="7D91E99E" w14:textId="61BC42B7" w:rsidR="00C31F6D" w:rsidRDefault="00C31F6D" w:rsidP="00D44A78">
      <w:pPr>
        <w:spacing w:after="160"/>
        <w:ind w:firstLine="720"/>
        <w:rPr>
          <w:rFonts w:cs="Times New Roman"/>
          <w:szCs w:val="24"/>
        </w:rPr>
      </w:pPr>
    </w:p>
    <w:p w14:paraId="0E584B1D" w14:textId="6C4648D6" w:rsidR="00C31F6D" w:rsidRDefault="00C31F6D" w:rsidP="00D44A78">
      <w:pPr>
        <w:spacing w:after="160"/>
        <w:ind w:firstLine="720"/>
        <w:rPr>
          <w:rFonts w:cs="Times New Roman"/>
          <w:szCs w:val="24"/>
        </w:rPr>
      </w:pPr>
    </w:p>
    <w:p w14:paraId="5F652783" w14:textId="46A9AA7A" w:rsidR="00C31F6D" w:rsidRDefault="00C31F6D" w:rsidP="00D44A78">
      <w:pPr>
        <w:spacing w:after="160"/>
        <w:ind w:firstLine="720"/>
        <w:rPr>
          <w:rFonts w:cs="Times New Roman"/>
          <w:szCs w:val="24"/>
        </w:rPr>
      </w:pPr>
    </w:p>
    <w:p w14:paraId="75FDD4A5" w14:textId="77777777" w:rsidR="00C31F6D" w:rsidRDefault="00C31F6D" w:rsidP="00D44A78">
      <w:pPr>
        <w:spacing w:after="160"/>
        <w:ind w:firstLine="720"/>
        <w:rPr>
          <w:rFonts w:cs="Times New Roman"/>
          <w:szCs w:val="24"/>
        </w:rPr>
      </w:pPr>
    </w:p>
    <w:p w14:paraId="64AB7EC6" w14:textId="40C5EF53" w:rsidR="00085BF2" w:rsidRPr="00C534AC" w:rsidRDefault="00085BF2" w:rsidP="00C534AC">
      <w:pPr>
        <w:rPr>
          <w:b/>
          <w:bCs/>
        </w:rPr>
      </w:pPr>
      <w:r w:rsidRPr="00C534AC">
        <w:rPr>
          <w:b/>
          <w:bCs/>
        </w:rPr>
        <w:lastRenderedPageBreak/>
        <w:t xml:space="preserve">Figure </w:t>
      </w:r>
      <w:r w:rsidR="000232E0" w:rsidRPr="00C534AC">
        <w:rPr>
          <w:b/>
          <w:bCs/>
        </w:rPr>
        <w:t>4</w:t>
      </w:r>
    </w:p>
    <w:p w14:paraId="047B0FE2" w14:textId="510CB283" w:rsidR="002F7B62" w:rsidRPr="002F7B62" w:rsidRDefault="002F7B62" w:rsidP="002F7B62">
      <w:pPr>
        <w:rPr>
          <w:i/>
          <w:iCs/>
        </w:rPr>
      </w:pPr>
      <w:bookmarkStart w:id="81" w:name="_Hlk223170237"/>
      <w:r>
        <w:rPr>
          <w:i/>
          <w:iCs/>
        </w:rPr>
        <w:t>Fall to Spring Retention Rate by Dual Enrollment Status</w:t>
      </w:r>
    </w:p>
    <w:bookmarkEnd w:id="81"/>
    <w:p w14:paraId="1F62A9D5" w14:textId="7181D1E8" w:rsidR="00FC756F" w:rsidRDefault="00811167" w:rsidP="00FC756F">
      <w:pPr>
        <w:autoSpaceDE w:val="0"/>
        <w:autoSpaceDN w:val="0"/>
        <w:adjustRightInd w:val="0"/>
        <w:spacing w:line="240" w:lineRule="auto"/>
        <w:rPr>
          <w:rFonts w:cs="Times New Roman"/>
          <w:szCs w:val="24"/>
        </w:rPr>
      </w:pPr>
      <w:r w:rsidRPr="00811167">
        <w:rPr>
          <w:rFonts w:cs="Times New Roman"/>
          <w:noProof/>
          <w:szCs w:val="24"/>
        </w:rPr>
        <w:drawing>
          <wp:inline distT="0" distB="0" distL="0" distR="0" wp14:anchorId="3EA67FD9" wp14:editId="748ADBE7">
            <wp:extent cx="5943600" cy="3507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507740"/>
                    </a:xfrm>
                    <a:prstGeom prst="rect">
                      <a:avLst/>
                    </a:prstGeom>
                  </pic:spPr>
                </pic:pic>
              </a:graphicData>
            </a:graphic>
          </wp:inline>
        </w:drawing>
      </w:r>
    </w:p>
    <w:p w14:paraId="484656C6" w14:textId="78280833" w:rsidR="00C31F6D" w:rsidRPr="00C31F6D" w:rsidRDefault="00C31F6D" w:rsidP="00C31F6D">
      <w:pPr>
        <w:rPr>
          <w:b/>
          <w:bCs/>
          <w:color w:val="FFFFFF" w:themeColor="background1"/>
        </w:rPr>
      </w:pPr>
      <w:bookmarkStart w:id="82" w:name="_Hlk221818188"/>
      <w:bookmarkStart w:id="83" w:name="_Hlk221818209"/>
      <w:bookmarkStart w:id="84" w:name="_Toc224458939"/>
      <w:r w:rsidRPr="00C31F6D">
        <w:rPr>
          <w:color w:val="FFFFFF" w:themeColor="background1"/>
        </w:rPr>
        <w:t xml:space="preserve">Figure </w:t>
      </w:r>
      <w:r w:rsidRPr="00C31F6D">
        <w:rPr>
          <w:color w:val="FFFFFF" w:themeColor="background1"/>
        </w:rPr>
        <w:fldChar w:fldCharType="begin"/>
      </w:r>
      <w:r w:rsidRPr="00C31F6D">
        <w:rPr>
          <w:color w:val="FFFFFF" w:themeColor="background1"/>
        </w:rPr>
        <w:instrText xml:space="preserve"> SEQ Figure \* ARABIC </w:instrText>
      </w:r>
      <w:r w:rsidRPr="00C31F6D">
        <w:rPr>
          <w:color w:val="FFFFFF" w:themeColor="background1"/>
        </w:rPr>
        <w:fldChar w:fldCharType="separate"/>
      </w:r>
      <w:r w:rsidR="00B4126D">
        <w:rPr>
          <w:noProof/>
          <w:color w:val="FFFFFF" w:themeColor="background1"/>
        </w:rPr>
        <w:t>4</w:t>
      </w:r>
      <w:r w:rsidRPr="00C31F6D">
        <w:rPr>
          <w:color w:val="FFFFFF" w:themeColor="background1"/>
        </w:rPr>
        <w:fldChar w:fldCharType="end"/>
      </w:r>
      <w:r w:rsidRPr="00C31F6D">
        <w:rPr>
          <w:color w:val="FFFFFF" w:themeColor="background1"/>
        </w:rPr>
        <w:t>. Fall to Spring Retention Rate by Dual Enrollment Status</w:t>
      </w:r>
      <w:bookmarkEnd w:id="84"/>
    </w:p>
    <w:p w14:paraId="00144217" w14:textId="4D7BBE4C" w:rsidR="00190076" w:rsidRPr="00C534AC" w:rsidRDefault="00190076" w:rsidP="00C534AC">
      <w:pPr>
        <w:rPr>
          <w:b/>
          <w:bCs/>
        </w:rPr>
      </w:pPr>
      <w:r w:rsidRPr="00C534AC">
        <w:rPr>
          <w:b/>
          <w:bCs/>
        </w:rPr>
        <w:t>Table 5</w:t>
      </w:r>
    </w:p>
    <w:bookmarkEnd w:id="82"/>
    <w:p w14:paraId="4AC2D128" w14:textId="2D5B6670" w:rsidR="006363BF" w:rsidRPr="000008A4" w:rsidRDefault="006363BF" w:rsidP="00190076">
      <w:pPr>
        <w:rPr>
          <w:i/>
          <w:iCs/>
        </w:rPr>
      </w:pPr>
      <w:r>
        <w:rPr>
          <w:i/>
          <w:iCs/>
        </w:rPr>
        <w:t>Fall to Spring Retention Rate by Dual Enrollment Status</w:t>
      </w:r>
      <w:bookmarkEnd w:id="83"/>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3144"/>
        <w:gridCol w:w="3144"/>
      </w:tblGrid>
      <w:tr w:rsidR="000008A4" w14:paraId="708A9B54" w14:textId="77777777" w:rsidTr="00EC2CFC">
        <w:tc>
          <w:tcPr>
            <w:tcW w:w="3062" w:type="dxa"/>
            <w:tcBorders>
              <w:top w:val="single" w:sz="4" w:space="0" w:color="auto"/>
              <w:bottom w:val="single" w:sz="4" w:space="0" w:color="auto"/>
            </w:tcBorders>
          </w:tcPr>
          <w:p w14:paraId="67D0EF59" w14:textId="77777777" w:rsidR="000008A4" w:rsidRDefault="000008A4" w:rsidP="00EC2CFC">
            <w:pPr>
              <w:spacing w:line="360" w:lineRule="auto"/>
            </w:pPr>
          </w:p>
        </w:tc>
        <w:tc>
          <w:tcPr>
            <w:tcW w:w="3144" w:type="dxa"/>
            <w:tcBorders>
              <w:top w:val="single" w:sz="4" w:space="0" w:color="auto"/>
              <w:bottom w:val="single" w:sz="4" w:space="0" w:color="auto"/>
            </w:tcBorders>
          </w:tcPr>
          <w:p w14:paraId="557B0D83" w14:textId="77777777" w:rsidR="000008A4" w:rsidRDefault="000008A4" w:rsidP="00EC2CFC">
            <w:pPr>
              <w:spacing w:line="360" w:lineRule="auto"/>
              <w:jc w:val="center"/>
            </w:pPr>
            <w:r>
              <w:t>Dual Enrollment Student</w:t>
            </w:r>
          </w:p>
        </w:tc>
        <w:tc>
          <w:tcPr>
            <w:tcW w:w="3144" w:type="dxa"/>
            <w:tcBorders>
              <w:top w:val="single" w:sz="4" w:space="0" w:color="auto"/>
              <w:bottom w:val="single" w:sz="4" w:space="0" w:color="auto"/>
            </w:tcBorders>
          </w:tcPr>
          <w:p w14:paraId="6CC22ECF" w14:textId="77777777" w:rsidR="000008A4" w:rsidRDefault="000008A4" w:rsidP="00EC2CFC">
            <w:pPr>
              <w:spacing w:line="360" w:lineRule="auto"/>
              <w:jc w:val="center"/>
            </w:pPr>
            <w:r>
              <w:t>Non-Dual Enrollment Student</w:t>
            </w:r>
          </w:p>
        </w:tc>
      </w:tr>
      <w:tr w:rsidR="000008A4" w14:paraId="780866F3" w14:textId="77777777" w:rsidTr="00EC2CFC">
        <w:tc>
          <w:tcPr>
            <w:tcW w:w="3062" w:type="dxa"/>
            <w:tcBorders>
              <w:top w:val="single" w:sz="4" w:space="0" w:color="auto"/>
            </w:tcBorders>
          </w:tcPr>
          <w:p w14:paraId="1075E785" w14:textId="0B8FAEF6" w:rsidR="000008A4" w:rsidRDefault="000008A4" w:rsidP="00EC2CFC">
            <w:pPr>
              <w:spacing w:line="360" w:lineRule="auto"/>
            </w:pPr>
            <w:r>
              <w:t>Retained</w:t>
            </w:r>
          </w:p>
        </w:tc>
        <w:tc>
          <w:tcPr>
            <w:tcW w:w="3144" w:type="dxa"/>
            <w:tcBorders>
              <w:top w:val="single" w:sz="4" w:space="0" w:color="auto"/>
            </w:tcBorders>
          </w:tcPr>
          <w:p w14:paraId="163F927D" w14:textId="184D8D18" w:rsidR="000008A4" w:rsidRDefault="000008A4" w:rsidP="00EC2CFC">
            <w:pPr>
              <w:tabs>
                <w:tab w:val="decimal" w:pos="1509"/>
              </w:tabs>
              <w:spacing w:line="360" w:lineRule="auto"/>
            </w:pPr>
            <w:r>
              <w:t>828</w:t>
            </w:r>
          </w:p>
        </w:tc>
        <w:tc>
          <w:tcPr>
            <w:tcW w:w="3144" w:type="dxa"/>
            <w:tcBorders>
              <w:top w:val="single" w:sz="4" w:space="0" w:color="auto"/>
            </w:tcBorders>
          </w:tcPr>
          <w:p w14:paraId="1FE38F97" w14:textId="62ECB151" w:rsidR="000008A4" w:rsidRDefault="000008A4" w:rsidP="00EC2CFC">
            <w:pPr>
              <w:tabs>
                <w:tab w:val="decimal" w:pos="1603"/>
              </w:tabs>
              <w:spacing w:line="360" w:lineRule="auto"/>
            </w:pPr>
            <w:r>
              <w:t>1013</w:t>
            </w:r>
          </w:p>
        </w:tc>
      </w:tr>
      <w:tr w:rsidR="000008A4" w14:paraId="6E0FA3AD" w14:textId="77777777" w:rsidTr="007A319F">
        <w:tc>
          <w:tcPr>
            <w:tcW w:w="3062" w:type="dxa"/>
            <w:tcBorders>
              <w:bottom w:val="nil"/>
            </w:tcBorders>
          </w:tcPr>
          <w:p w14:paraId="756262F9" w14:textId="3B38380C" w:rsidR="000008A4" w:rsidRDefault="000008A4" w:rsidP="00EC2CFC">
            <w:pPr>
              <w:spacing w:line="360" w:lineRule="auto"/>
            </w:pPr>
            <w:r>
              <w:t>Not Retained</w:t>
            </w:r>
          </w:p>
        </w:tc>
        <w:tc>
          <w:tcPr>
            <w:tcW w:w="3144" w:type="dxa"/>
            <w:tcBorders>
              <w:bottom w:val="nil"/>
            </w:tcBorders>
          </w:tcPr>
          <w:p w14:paraId="5A7BDD78" w14:textId="7CE13C0A" w:rsidR="000008A4" w:rsidRDefault="000008A4" w:rsidP="00EC2CFC">
            <w:pPr>
              <w:tabs>
                <w:tab w:val="decimal" w:pos="1509"/>
              </w:tabs>
              <w:spacing w:line="360" w:lineRule="auto"/>
            </w:pPr>
            <w:r>
              <w:t>88</w:t>
            </w:r>
          </w:p>
        </w:tc>
        <w:tc>
          <w:tcPr>
            <w:tcW w:w="3144" w:type="dxa"/>
            <w:tcBorders>
              <w:bottom w:val="nil"/>
            </w:tcBorders>
          </w:tcPr>
          <w:p w14:paraId="5CEC3DE7" w14:textId="4B388D59" w:rsidR="000008A4" w:rsidRDefault="000008A4" w:rsidP="00EC2CFC">
            <w:pPr>
              <w:tabs>
                <w:tab w:val="decimal" w:pos="1603"/>
              </w:tabs>
              <w:spacing w:line="360" w:lineRule="auto"/>
            </w:pPr>
            <w:r>
              <w:t>149</w:t>
            </w:r>
          </w:p>
        </w:tc>
      </w:tr>
      <w:tr w:rsidR="000008A4" w14:paraId="683050B3" w14:textId="77777777" w:rsidTr="007A319F">
        <w:tc>
          <w:tcPr>
            <w:tcW w:w="3062" w:type="dxa"/>
            <w:tcBorders>
              <w:top w:val="nil"/>
              <w:bottom w:val="single" w:sz="4" w:space="0" w:color="auto"/>
            </w:tcBorders>
          </w:tcPr>
          <w:p w14:paraId="4C9EC229" w14:textId="77777777" w:rsidR="000008A4" w:rsidRDefault="000008A4" w:rsidP="00EC2CFC">
            <w:pPr>
              <w:spacing w:line="360" w:lineRule="auto"/>
            </w:pPr>
            <w:r>
              <w:t>Total</w:t>
            </w:r>
          </w:p>
        </w:tc>
        <w:tc>
          <w:tcPr>
            <w:tcW w:w="3144" w:type="dxa"/>
            <w:tcBorders>
              <w:top w:val="nil"/>
              <w:bottom w:val="single" w:sz="4" w:space="0" w:color="auto"/>
            </w:tcBorders>
          </w:tcPr>
          <w:p w14:paraId="018B7896" w14:textId="77777777" w:rsidR="000008A4" w:rsidRDefault="000008A4" w:rsidP="00EC2CFC">
            <w:pPr>
              <w:tabs>
                <w:tab w:val="decimal" w:pos="1509"/>
              </w:tabs>
              <w:spacing w:line="360" w:lineRule="auto"/>
            </w:pPr>
            <w:r>
              <w:t>916</w:t>
            </w:r>
          </w:p>
        </w:tc>
        <w:tc>
          <w:tcPr>
            <w:tcW w:w="3144" w:type="dxa"/>
            <w:tcBorders>
              <w:top w:val="nil"/>
              <w:bottom w:val="single" w:sz="4" w:space="0" w:color="auto"/>
            </w:tcBorders>
          </w:tcPr>
          <w:p w14:paraId="5E9DD63A" w14:textId="77777777" w:rsidR="000008A4" w:rsidRDefault="000008A4" w:rsidP="00EC2CFC">
            <w:pPr>
              <w:tabs>
                <w:tab w:val="decimal" w:pos="1603"/>
              </w:tabs>
              <w:spacing w:line="360" w:lineRule="auto"/>
            </w:pPr>
            <w:r>
              <w:t>1162</w:t>
            </w:r>
          </w:p>
        </w:tc>
      </w:tr>
    </w:tbl>
    <w:p w14:paraId="461C5FF2" w14:textId="3436EAB2" w:rsidR="00EB027E" w:rsidRDefault="000F4911" w:rsidP="000F4911">
      <w:pPr>
        <w:rPr>
          <w:color w:val="FFFFFF" w:themeColor="background1"/>
        </w:rPr>
      </w:pPr>
      <w:bookmarkStart w:id="85" w:name="_Toc224458932"/>
      <w:r w:rsidRPr="000F4911">
        <w:rPr>
          <w:color w:val="FFFFFF" w:themeColor="background1"/>
        </w:rPr>
        <w:t xml:space="preserve">Table </w:t>
      </w:r>
      <w:r w:rsidRPr="000F4911">
        <w:rPr>
          <w:color w:val="FFFFFF" w:themeColor="background1"/>
        </w:rPr>
        <w:fldChar w:fldCharType="begin"/>
      </w:r>
      <w:r w:rsidRPr="000F4911">
        <w:rPr>
          <w:color w:val="FFFFFF" w:themeColor="background1"/>
        </w:rPr>
        <w:instrText xml:space="preserve"> SEQ Table \* ARABIC </w:instrText>
      </w:r>
      <w:r w:rsidRPr="000F4911">
        <w:rPr>
          <w:color w:val="FFFFFF" w:themeColor="background1"/>
        </w:rPr>
        <w:fldChar w:fldCharType="separate"/>
      </w:r>
      <w:r w:rsidR="00B4126D">
        <w:rPr>
          <w:noProof/>
          <w:color w:val="FFFFFF" w:themeColor="background1"/>
        </w:rPr>
        <w:t>5</w:t>
      </w:r>
      <w:r w:rsidRPr="000F4911">
        <w:rPr>
          <w:color w:val="FFFFFF" w:themeColor="background1"/>
        </w:rPr>
        <w:fldChar w:fldCharType="end"/>
      </w:r>
      <w:r w:rsidRPr="000F4911">
        <w:rPr>
          <w:color w:val="FFFFFF" w:themeColor="background1"/>
        </w:rPr>
        <w:t>. Fall to Spring Retention Rate by Dual Enrollment Status</w:t>
      </w:r>
      <w:bookmarkEnd w:id="85"/>
    </w:p>
    <w:p w14:paraId="39D66CEE" w14:textId="77777777" w:rsidR="007A23DB" w:rsidRPr="000F4911" w:rsidRDefault="007A23DB" w:rsidP="000F4911">
      <w:pPr>
        <w:rPr>
          <w:color w:val="FFFFFF" w:themeColor="background1"/>
        </w:rPr>
      </w:pPr>
    </w:p>
    <w:p w14:paraId="71D81547" w14:textId="6FFF742D" w:rsidR="00B35469" w:rsidRPr="00EE10C8" w:rsidRDefault="00EE10C8" w:rsidP="00EE10C8">
      <w:pPr>
        <w:pStyle w:val="Heading3"/>
        <w:rPr>
          <w:rFonts w:cs="Times New Roman"/>
        </w:rPr>
      </w:pPr>
      <w:bookmarkStart w:id="86" w:name="_Toc224458914"/>
      <w:r>
        <w:rPr>
          <w:rFonts w:cs="Times New Roman"/>
        </w:rPr>
        <w:lastRenderedPageBreak/>
        <w:t>Research Question 5</w:t>
      </w:r>
      <w:bookmarkEnd w:id="86"/>
    </w:p>
    <w:p w14:paraId="39299ABC" w14:textId="3DF36F77" w:rsidR="00D84B90" w:rsidRPr="00440C73" w:rsidRDefault="00D84B90" w:rsidP="00D84B90">
      <w:pPr>
        <w:ind w:firstLine="720"/>
        <w:rPr>
          <w:rFonts w:cs="Times New Roman"/>
          <w:color w:val="000000" w:themeColor="text1"/>
          <w:szCs w:val="24"/>
        </w:rPr>
      </w:pPr>
      <w:r w:rsidRPr="00A53F50">
        <w:rPr>
          <w:rFonts w:cs="Times New Roman"/>
          <w:color w:val="000000" w:themeColor="text1"/>
          <w:szCs w:val="24"/>
        </w:rPr>
        <w:t xml:space="preserve">RQ 5: </w:t>
      </w:r>
      <w:r w:rsidRPr="00A53F50">
        <w:rPr>
          <w:rFonts w:cs="Times New Roman"/>
        </w:rPr>
        <w:t>Is there a significant difference in retention rate (</w:t>
      </w:r>
      <w:r w:rsidR="007A319F" w:rsidRPr="00A53F50">
        <w:rPr>
          <w:rFonts w:cs="Times New Roman"/>
        </w:rPr>
        <w:t>f</w:t>
      </w:r>
      <w:r w:rsidRPr="00A53F50">
        <w:rPr>
          <w:rFonts w:cs="Times New Roman"/>
        </w:rPr>
        <w:t xml:space="preserve">all to </w:t>
      </w:r>
      <w:r w:rsidR="007A319F" w:rsidRPr="00A53F50">
        <w:rPr>
          <w:rFonts w:cs="Times New Roman"/>
        </w:rPr>
        <w:t>f</w:t>
      </w:r>
      <w:r w:rsidRPr="00A53F50">
        <w:rPr>
          <w:rFonts w:cs="Times New Roman"/>
        </w:rPr>
        <w:t>all) between students who took dual enrollment while in high school and those students that did not participate in dual enrollment?</w:t>
      </w:r>
    </w:p>
    <w:p w14:paraId="0C21F884" w14:textId="7A2F1296" w:rsidR="00D84B90" w:rsidRDefault="00D84B90" w:rsidP="00D84B90">
      <w:pPr>
        <w:ind w:firstLine="720"/>
        <w:rPr>
          <w:rFonts w:cs="Times New Roman"/>
        </w:rPr>
      </w:pPr>
      <w:r w:rsidRPr="00440C73">
        <w:rPr>
          <w:rFonts w:cs="Times New Roman"/>
          <w:color w:val="000000" w:themeColor="text1"/>
          <w:szCs w:val="24"/>
        </w:rPr>
        <w:t>H</w:t>
      </w:r>
      <w:r w:rsidRPr="00440C73">
        <w:rPr>
          <w:rFonts w:cs="Times New Roman"/>
          <w:color w:val="000000" w:themeColor="text1"/>
          <w:szCs w:val="24"/>
          <w:vertAlign w:val="subscript"/>
        </w:rPr>
        <w:t>o</w:t>
      </w:r>
      <w:r w:rsidRPr="00440C73">
        <w:rPr>
          <w:rFonts w:cs="Times New Roman"/>
          <w:color w:val="000000" w:themeColor="text1"/>
          <w:szCs w:val="24"/>
        </w:rPr>
        <w:t xml:space="preserve">5: There is no significant </w:t>
      </w:r>
      <w:r w:rsidRPr="00440C73">
        <w:rPr>
          <w:rFonts w:cs="Times New Roman"/>
        </w:rPr>
        <w:t>difference in retention rate (</w:t>
      </w:r>
      <w:r w:rsidR="007A319F">
        <w:rPr>
          <w:rFonts w:cs="Times New Roman"/>
        </w:rPr>
        <w:t>f</w:t>
      </w:r>
      <w:r w:rsidRPr="00440C73">
        <w:rPr>
          <w:rFonts w:cs="Times New Roman"/>
        </w:rPr>
        <w:t xml:space="preserve">all to </w:t>
      </w:r>
      <w:r w:rsidR="007A319F">
        <w:rPr>
          <w:rFonts w:cs="Times New Roman"/>
        </w:rPr>
        <w:t>f</w:t>
      </w:r>
      <w:r w:rsidRPr="00440C73">
        <w:rPr>
          <w:rFonts w:cs="Times New Roman"/>
        </w:rPr>
        <w:t>all) between students who took dual enrollment while in high school and those students that did not participate in dual enrollment.</w:t>
      </w:r>
    </w:p>
    <w:p w14:paraId="75DB3BFD" w14:textId="6C7F66E0" w:rsidR="009A6168" w:rsidRDefault="00085BF2" w:rsidP="00CD5161">
      <w:pPr>
        <w:spacing w:after="160"/>
        <w:ind w:firstLine="720"/>
        <w:rPr>
          <w:rFonts w:cs="Times New Roman"/>
          <w:szCs w:val="24"/>
        </w:rPr>
      </w:pPr>
      <w:r>
        <w:rPr>
          <w:rFonts w:cs="Times New Roman"/>
          <w:color w:val="000000" w:themeColor="text1"/>
          <w:spacing w:val="3"/>
          <w:szCs w:val="24"/>
        </w:rPr>
        <w:t xml:space="preserve">A two-way contingency table analysis was conducted to evaluate whether there was a significant </w:t>
      </w:r>
      <w:r w:rsidRPr="002201EF">
        <w:rPr>
          <w:rFonts w:cs="Times New Roman"/>
        </w:rPr>
        <w:t xml:space="preserve">difference </w:t>
      </w:r>
      <w:r w:rsidRPr="00440C73">
        <w:rPr>
          <w:rFonts w:cs="Times New Roman"/>
        </w:rPr>
        <w:t>in retention rate (</w:t>
      </w:r>
      <w:r w:rsidR="007A319F">
        <w:rPr>
          <w:rFonts w:cs="Times New Roman"/>
        </w:rPr>
        <w:t>f</w:t>
      </w:r>
      <w:r w:rsidRPr="00440C73">
        <w:rPr>
          <w:rFonts w:cs="Times New Roman"/>
        </w:rPr>
        <w:t xml:space="preserve">all to </w:t>
      </w:r>
      <w:r w:rsidR="007A319F">
        <w:rPr>
          <w:rFonts w:cs="Times New Roman"/>
        </w:rPr>
        <w:t>f</w:t>
      </w:r>
      <w:r w:rsidRPr="00440C73">
        <w:rPr>
          <w:rFonts w:cs="Times New Roman"/>
        </w:rPr>
        <w:t>all) between students who took dual enrollment while in high school and those students that did not participate in dual enrollment</w:t>
      </w:r>
      <w:r>
        <w:rPr>
          <w:rFonts w:cs="Times New Roman"/>
        </w:rPr>
        <w:t>. The two variables were dual enrollment (no and yes) and retention rate (</w:t>
      </w:r>
      <w:r w:rsidR="007A319F">
        <w:rPr>
          <w:rFonts w:cs="Times New Roman"/>
        </w:rPr>
        <w:t>f</w:t>
      </w:r>
      <w:r>
        <w:rPr>
          <w:rFonts w:cs="Times New Roman"/>
        </w:rPr>
        <w:t xml:space="preserve">all to </w:t>
      </w:r>
      <w:r w:rsidR="007A319F">
        <w:rPr>
          <w:rFonts w:cs="Times New Roman"/>
        </w:rPr>
        <w:t>f</w:t>
      </w:r>
      <w:r>
        <w:rPr>
          <w:rFonts w:cs="Times New Roman"/>
        </w:rPr>
        <w:t>all). The difference found between dual enrollment and retention rate (</w:t>
      </w:r>
      <w:r w:rsidR="007A319F">
        <w:rPr>
          <w:rFonts w:cs="Times New Roman"/>
        </w:rPr>
        <w:t>f</w:t>
      </w:r>
      <w:r>
        <w:rPr>
          <w:rFonts w:cs="Times New Roman"/>
        </w:rPr>
        <w:t xml:space="preserve">all to </w:t>
      </w:r>
      <w:r w:rsidR="007A319F">
        <w:rPr>
          <w:rFonts w:cs="Times New Roman"/>
        </w:rPr>
        <w:t>f</w:t>
      </w:r>
      <w:r>
        <w:rPr>
          <w:rFonts w:cs="Times New Roman"/>
        </w:rPr>
        <w:t xml:space="preserve">all) were found not to be significantly related, Pearson </w:t>
      </w:r>
      <w:r w:rsidRPr="00E52AAD">
        <w:rPr>
          <w:rFonts w:cs="Times New Roman"/>
          <w:szCs w:val="24"/>
        </w:rPr>
        <w:t>χ</w:t>
      </w:r>
      <w:r w:rsidRPr="00E52AAD">
        <w:rPr>
          <w:rFonts w:cs="Times New Roman"/>
          <w:szCs w:val="24"/>
          <w:vertAlign w:val="superscript"/>
        </w:rPr>
        <w:t>2</w:t>
      </w:r>
      <w:r>
        <w:rPr>
          <w:rFonts w:cs="Times New Roman"/>
          <w:color w:val="000000" w:themeColor="text1"/>
          <w:spacing w:val="3"/>
          <w:szCs w:val="24"/>
        </w:rPr>
        <w:t>(1, N</w:t>
      </w:r>
      <w:r w:rsidR="00F17209">
        <w:rPr>
          <w:rFonts w:cs="Times New Roman"/>
          <w:color w:val="000000" w:themeColor="text1"/>
          <w:spacing w:val="3"/>
          <w:szCs w:val="24"/>
        </w:rPr>
        <w:t xml:space="preserve"> </w:t>
      </w:r>
      <w:r>
        <w:rPr>
          <w:rFonts w:cs="Times New Roman"/>
          <w:color w:val="000000" w:themeColor="text1"/>
          <w:spacing w:val="3"/>
          <w:szCs w:val="24"/>
        </w:rPr>
        <w:t>=</w:t>
      </w:r>
      <w:r w:rsidR="00F17209">
        <w:rPr>
          <w:rFonts w:cs="Times New Roman"/>
          <w:color w:val="000000" w:themeColor="text1"/>
          <w:spacing w:val="3"/>
          <w:szCs w:val="24"/>
        </w:rPr>
        <w:t xml:space="preserve"> </w:t>
      </w:r>
      <w:r>
        <w:rPr>
          <w:rFonts w:cs="Times New Roman"/>
          <w:color w:val="000000" w:themeColor="text1"/>
          <w:spacing w:val="3"/>
          <w:szCs w:val="24"/>
        </w:rPr>
        <w:t xml:space="preserve">2078) = </w:t>
      </w:r>
      <w:r w:rsidR="007C7D05">
        <w:rPr>
          <w:rFonts w:cs="Times New Roman"/>
          <w:color w:val="000000" w:themeColor="text1"/>
          <w:spacing w:val="3"/>
          <w:szCs w:val="24"/>
        </w:rPr>
        <w:t>3.5</w:t>
      </w:r>
      <w:r w:rsidR="00F17209">
        <w:rPr>
          <w:rFonts w:cs="Times New Roman"/>
          <w:color w:val="000000" w:themeColor="text1"/>
          <w:spacing w:val="3"/>
          <w:szCs w:val="24"/>
        </w:rPr>
        <w:t>1</w:t>
      </w:r>
      <w:r>
        <w:rPr>
          <w:rFonts w:cs="Times New Roman"/>
          <w:color w:val="000000" w:themeColor="text1"/>
          <w:spacing w:val="3"/>
          <w:szCs w:val="24"/>
        </w:rPr>
        <w:t xml:space="preserve">, p </w:t>
      </w:r>
      <w:r>
        <w:rPr>
          <w:rFonts w:cs="Times New Roman"/>
          <w:szCs w:val="24"/>
        </w:rPr>
        <w:t xml:space="preserve">= </w:t>
      </w:r>
      <w:r w:rsidRPr="00E52AAD">
        <w:rPr>
          <w:rFonts w:cs="Times New Roman"/>
          <w:szCs w:val="24"/>
        </w:rPr>
        <w:t>.0</w:t>
      </w:r>
      <w:r w:rsidR="007C7D05">
        <w:rPr>
          <w:rFonts w:cs="Times New Roman"/>
          <w:szCs w:val="24"/>
        </w:rPr>
        <w:t>61</w:t>
      </w:r>
      <w:r>
        <w:rPr>
          <w:rFonts w:cs="Times New Roman"/>
          <w:szCs w:val="24"/>
        </w:rPr>
        <w:t>, Cramer’s V = .0</w:t>
      </w:r>
      <w:r w:rsidR="007C7D05">
        <w:rPr>
          <w:rFonts w:cs="Times New Roman"/>
          <w:szCs w:val="24"/>
        </w:rPr>
        <w:t>4</w:t>
      </w:r>
      <w:r>
        <w:rPr>
          <w:rFonts w:cs="Times New Roman"/>
          <w:szCs w:val="24"/>
        </w:rPr>
        <w:t xml:space="preserve">. Therefore, the null hypothesis </w:t>
      </w:r>
      <w:r w:rsidRPr="00127357">
        <w:rPr>
          <w:rFonts w:cs="Times New Roman"/>
          <w:color w:val="000000" w:themeColor="text1"/>
          <w:szCs w:val="24"/>
        </w:rPr>
        <w:t>H</w:t>
      </w:r>
      <w:r w:rsidRPr="00127357">
        <w:rPr>
          <w:rFonts w:cs="Times New Roman"/>
          <w:color w:val="000000" w:themeColor="text1"/>
          <w:szCs w:val="24"/>
          <w:vertAlign w:val="subscript"/>
        </w:rPr>
        <w:t>o</w:t>
      </w:r>
      <w:r>
        <w:rPr>
          <w:rFonts w:cs="Times New Roman"/>
          <w:color w:val="000000" w:themeColor="text1"/>
          <w:szCs w:val="24"/>
        </w:rPr>
        <w:t xml:space="preserve">5 </w:t>
      </w:r>
      <w:r>
        <w:rPr>
          <w:rFonts w:cs="Times New Roman"/>
          <w:szCs w:val="24"/>
        </w:rPr>
        <w:t xml:space="preserve">was retained. Students who took dual enrollment were not significantly more likely to have fall to fall retention than students who did not take dual enrollment. See Figure </w:t>
      </w:r>
      <w:r w:rsidR="000232E0">
        <w:rPr>
          <w:rFonts w:cs="Times New Roman"/>
          <w:szCs w:val="24"/>
        </w:rPr>
        <w:t>5</w:t>
      </w:r>
      <w:r>
        <w:rPr>
          <w:rFonts w:cs="Times New Roman"/>
          <w:szCs w:val="24"/>
        </w:rPr>
        <w:t xml:space="preserve"> for visual representation of this finding. </w:t>
      </w:r>
    </w:p>
    <w:p w14:paraId="3741880F" w14:textId="2DF9093E" w:rsidR="00A135D7" w:rsidRDefault="00A135D7" w:rsidP="00CD5161">
      <w:pPr>
        <w:spacing w:after="160"/>
        <w:ind w:firstLine="720"/>
        <w:rPr>
          <w:rFonts w:cs="Times New Roman"/>
          <w:szCs w:val="24"/>
        </w:rPr>
      </w:pPr>
    </w:p>
    <w:p w14:paraId="45E4671D" w14:textId="6654AA56" w:rsidR="00A135D7" w:rsidRDefault="00A135D7" w:rsidP="00CD5161">
      <w:pPr>
        <w:spacing w:after="160"/>
        <w:ind w:firstLine="720"/>
        <w:rPr>
          <w:rFonts w:cs="Times New Roman"/>
          <w:szCs w:val="24"/>
        </w:rPr>
      </w:pPr>
    </w:p>
    <w:p w14:paraId="5917872C" w14:textId="76A98C55" w:rsidR="00A135D7" w:rsidRDefault="00A135D7" w:rsidP="00CD5161">
      <w:pPr>
        <w:spacing w:after="160"/>
        <w:ind w:firstLine="720"/>
        <w:rPr>
          <w:rFonts w:cs="Times New Roman"/>
          <w:szCs w:val="24"/>
        </w:rPr>
      </w:pPr>
    </w:p>
    <w:p w14:paraId="6179818D" w14:textId="0D6BF4FD" w:rsidR="00A135D7" w:rsidRDefault="00A135D7" w:rsidP="00CD5161">
      <w:pPr>
        <w:spacing w:after="160"/>
        <w:ind w:firstLine="720"/>
        <w:rPr>
          <w:rFonts w:cs="Times New Roman"/>
          <w:szCs w:val="24"/>
        </w:rPr>
      </w:pPr>
    </w:p>
    <w:p w14:paraId="79B4990F" w14:textId="2060D434" w:rsidR="00A135D7" w:rsidRDefault="00A135D7" w:rsidP="00A10AD2">
      <w:pPr>
        <w:spacing w:after="160"/>
        <w:rPr>
          <w:rFonts w:cs="Times New Roman"/>
          <w:szCs w:val="24"/>
        </w:rPr>
      </w:pPr>
    </w:p>
    <w:p w14:paraId="3DB99D31" w14:textId="77777777" w:rsidR="00A135D7" w:rsidRDefault="00A135D7" w:rsidP="00CD5161">
      <w:pPr>
        <w:spacing w:after="160"/>
        <w:ind w:firstLine="720"/>
        <w:rPr>
          <w:rFonts w:cs="Times New Roman"/>
          <w:szCs w:val="24"/>
        </w:rPr>
      </w:pPr>
    </w:p>
    <w:p w14:paraId="688C9452" w14:textId="77ED0D74" w:rsidR="00085BF2" w:rsidRPr="00C534AC" w:rsidRDefault="00085BF2" w:rsidP="00C534AC">
      <w:pPr>
        <w:rPr>
          <w:b/>
          <w:bCs/>
        </w:rPr>
      </w:pPr>
      <w:r w:rsidRPr="00C534AC">
        <w:rPr>
          <w:b/>
          <w:bCs/>
        </w:rPr>
        <w:lastRenderedPageBreak/>
        <w:t xml:space="preserve">Figure </w:t>
      </w:r>
      <w:r w:rsidR="000232E0" w:rsidRPr="00C534AC">
        <w:rPr>
          <w:b/>
          <w:bCs/>
        </w:rPr>
        <w:t>5</w:t>
      </w:r>
    </w:p>
    <w:p w14:paraId="5C2A12BA" w14:textId="66D97E0F" w:rsidR="002F7B62" w:rsidRPr="002F7B62" w:rsidRDefault="002F7B62" w:rsidP="002F7B62">
      <w:pPr>
        <w:rPr>
          <w:i/>
          <w:iCs/>
        </w:rPr>
      </w:pPr>
      <w:bookmarkStart w:id="87" w:name="_Hlk223170326"/>
      <w:r w:rsidRPr="002F7B62">
        <w:rPr>
          <w:i/>
          <w:iCs/>
        </w:rPr>
        <w:t>Fall to Fall Retention Rate by Dual Enrollment Status</w:t>
      </w:r>
    </w:p>
    <w:bookmarkEnd w:id="87"/>
    <w:p w14:paraId="1903193F" w14:textId="77777777" w:rsidR="00CD5161" w:rsidRDefault="00CD5161" w:rsidP="00085BF2">
      <w:pPr>
        <w:rPr>
          <w:rFonts w:cs="Times New Roman"/>
        </w:rPr>
      </w:pPr>
    </w:p>
    <w:p w14:paraId="1D8DE202" w14:textId="26EC5670" w:rsidR="00085BF2" w:rsidRDefault="002F7B62" w:rsidP="00085BF2">
      <w:pPr>
        <w:rPr>
          <w:rFonts w:cs="Times New Roman"/>
        </w:rPr>
      </w:pPr>
      <w:r w:rsidRPr="002F7B62">
        <w:rPr>
          <w:rFonts w:cs="Times New Roman"/>
          <w:noProof/>
        </w:rPr>
        <w:drawing>
          <wp:inline distT="0" distB="0" distL="0" distR="0" wp14:anchorId="64F0BD65" wp14:editId="3403269C">
            <wp:extent cx="5943600" cy="3504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504565"/>
                    </a:xfrm>
                    <a:prstGeom prst="rect">
                      <a:avLst/>
                    </a:prstGeom>
                  </pic:spPr>
                </pic:pic>
              </a:graphicData>
            </a:graphic>
          </wp:inline>
        </w:drawing>
      </w:r>
    </w:p>
    <w:p w14:paraId="6356E818" w14:textId="515F3813" w:rsidR="00A135D7" w:rsidRPr="00A135D7" w:rsidRDefault="00A135D7" w:rsidP="00A135D7">
      <w:pPr>
        <w:rPr>
          <w:color w:val="FFFFFF" w:themeColor="background1"/>
        </w:rPr>
      </w:pPr>
      <w:bookmarkStart w:id="88" w:name="_Toc224458940"/>
      <w:r w:rsidRPr="00A135D7">
        <w:rPr>
          <w:color w:val="FFFFFF" w:themeColor="background1"/>
        </w:rPr>
        <w:t xml:space="preserve">Figure </w:t>
      </w:r>
      <w:r w:rsidRPr="00A135D7">
        <w:rPr>
          <w:color w:val="FFFFFF" w:themeColor="background1"/>
        </w:rPr>
        <w:fldChar w:fldCharType="begin"/>
      </w:r>
      <w:r w:rsidRPr="00A135D7">
        <w:rPr>
          <w:color w:val="FFFFFF" w:themeColor="background1"/>
        </w:rPr>
        <w:instrText xml:space="preserve"> SEQ Figure \* ARABIC </w:instrText>
      </w:r>
      <w:r w:rsidRPr="00A135D7">
        <w:rPr>
          <w:color w:val="FFFFFF" w:themeColor="background1"/>
        </w:rPr>
        <w:fldChar w:fldCharType="separate"/>
      </w:r>
      <w:r w:rsidR="00B4126D">
        <w:rPr>
          <w:noProof/>
          <w:color w:val="FFFFFF" w:themeColor="background1"/>
        </w:rPr>
        <w:t>5</w:t>
      </w:r>
      <w:r w:rsidRPr="00A135D7">
        <w:rPr>
          <w:color w:val="FFFFFF" w:themeColor="background1"/>
        </w:rPr>
        <w:fldChar w:fldCharType="end"/>
      </w:r>
      <w:r w:rsidRPr="00A135D7">
        <w:rPr>
          <w:color w:val="FFFFFF" w:themeColor="background1"/>
        </w:rPr>
        <w:t>. Fall to Fall Retention Rate by Dual Enrollment Status</w:t>
      </w:r>
      <w:bookmarkEnd w:id="88"/>
    </w:p>
    <w:p w14:paraId="4E377263" w14:textId="70D86006" w:rsidR="00CD5161" w:rsidRPr="00C534AC" w:rsidRDefault="00CD5161" w:rsidP="00C534AC">
      <w:pPr>
        <w:rPr>
          <w:b/>
          <w:bCs/>
        </w:rPr>
      </w:pPr>
      <w:r w:rsidRPr="00C534AC">
        <w:rPr>
          <w:b/>
          <w:bCs/>
        </w:rPr>
        <w:t xml:space="preserve">Table </w:t>
      </w:r>
      <w:r w:rsidR="00A61F36" w:rsidRPr="00C534AC">
        <w:rPr>
          <w:b/>
          <w:bCs/>
        </w:rPr>
        <w:t>6</w:t>
      </w:r>
    </w:p>
    <w:p w14:paraId="53BCC447" w14:textId="761B0DE9" w:rsidR="00CD5161" w:rsidRPr="00A946E1" w:rsidRDefault="00CD5161" w:rsidP="00085BF2">
      <w:pPr>
        <w:rPr>
          <w:i/>
          <w:iCs/>
        </w:rPr>
      </w:pPr>
      <w:r>
        <w:rPr>
          <w:i/>
          <w:iCs/>
        </w:rPr>
        <w:t>Fall to Fall Retention Rate by Dual Enrollment Status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3144"/>
        <w:gridCol w:w="3144"/>
      </w:tblGrid>
      <w:tr w:rsidR="00A946E1" w14:paraId="0D1B6A19" w14:textId="77777777" w:rsidTr="00EC2CFC">
        <w:tc>
          <w:tcPr>
            <w:tcW w:w="3062" w:type="dxa"/>
            <w:tcBorders>
              <w:top w:val="single" w:sz="4" w:space="0" w:color="auto"/>
              <w:bottom w:val="single" w:sz="4" w:space="0" w:color="auto"/>
            </w:tcBorders>
          </w:tcPr>
          <w:p w14:paraId="10D97187" w14:textId="77777777" w:rsidR="00A946E1" w:rsidRDefault="00A946E1" w:rsidP="00EC2CFC">
            <w:pPr>
              <w:spacing w:line="360" w:lineRule="auto"/>
            </w:pPr>
          </w:p>
        </w:tc>
        <w:tc>
          <w:tcPr>
            <w:tcW w:w="3144" w:type="dxa"/>
            <w:tcBorders>
              <w:top w:val="single" w:sz="4" w:space="0" w:color="auto"/>
              <w:bottom w:val="single" w:sz="4" w:space="0" w:color="auto"/>
            </w:tcBorders>
          </w:tcPr>
          <w:p w14:paraId="00E513A6" w14:textId="77777777" w:rsidR="00A946E1" w:rsidRDefault="00A946E1" w:rsidP="00EC2CFC">
            <w:pPr>
              <w:spacing w:line="360" w:lineRule="auto"/>
              <w:jc w:val="center"/>
            </w:pPr>
            <w:r>
              <w:t>Dual Enrollment Student</w:t>
            </w:r>
          </w:p>
        </w:tc>
        <w:tc>
          <w:tcPr>
            <w:tcW w:w="3144" w:type="dxa"/>
            <w:tcBorders>
              <w:top w:val="single" w:sz="4" w:space="0" w:color="auto"/>
              <w:bottom w:val="single" w:sz="4" w:space="0" w:color="auto"/>
            </w:tcBorders>
          </w:tcPr>
          <w:p w14:paraId="6F2F8558" w14:textId="77777777" w:rsidR="00A946E1" w:rsidRDefault="00A946E1" w:rsidP="00EC2CFC">
            <w:pPr>
              <w:spacing w:line="360" w:lineRule="auto"/>
              <w:jc w:val="center"/>
            </w:pPr>
            <w:r>
              <w:t>Non-Dual Enrollment Student</w:t>
            </w:r>
          </w:p>
        </w:tc>
      </w:tr>
      <w:tr w:rsidR="00A946E1" w14:paraId="45F2E979" w14:textId="77777777" w:rsidTr="00EC2CFC">
        <w:tc>
          <w:tcPr>
            <w:tcW w:w="3062" w:type="dxa"/>
            <w:tcBorders>
              <w:top w:val="single" w:sz="4" w:space="0" w:color="auto"/>
            </w:tcBorders>
          </w:tcPr>
          <w:p w14:paraId="6FC1FA1A" w14:textId="77777777" w:rsidR="00A946E1" w:rsidRDefault="00A946E1" w:rsidP="00EC2CFC">
            <w:pPr>
              <w:spacing w:line="360" w:lineRule="auto"/>
            </w:pPr>
            <w:r>
              <w:t>Retained</w:t>
            </w:r>
          </w:p>
        </w:tc>
        <w:tc>
          <w:tcPr>
            <w:tcW w:w="3144" w:type="dxa"/>
            <w:tcBorders>
              <w:top w:val="single" w:sz="4" w:space="0" w:color="auto"/>
            </w:tcBorders>
          </w:tcPr>
          <w:p w14:paraId="7FA49A0C" w14:textId="2AF0B354" w:rsidR="00A946E1" w:rsidRDefault="00A946E1" w:rsidP="00EC2CFC">
            <w:pPr>
              <w:tabs>
                <w:tab w:val="decimal" w:pos="1509"/>
              </w:tabs>
              <w:spacing w:line="360" w:lineRule="auto"/>
            </w:pPr>
            <w:r>
              <w:t>712</w:t>
            </w:r>
          </w:p>
        </w:tc>
        <w:tc>
          <w:tcPr>
            <w:tcW w:w="3144" w:type="dxa"/>
            <w:tcBorders>
              <w:top w:val="single" w:sz="4" w:space="0" w:color="auto"/>
            </w:tcBorders>
          </w:tcPr>
          <w:p w14:paraId="68B6C00F" w14:textId="5CF60A3A" w:rsidR="00A946E1" w:rsidRDefault="00A946E1" w:rsidP="00EC2CFC">
            <w:pPr>
              <w:tabs>
                <w:tab w:val="decimal" w:pos="1603"/>
              </w:tabs>
              <w:spacing w:line="360" w:lineRule="auto"/>
            </w:pPr>
            <w:r>
              <w:t>862</w:t>
            </w:r>
          </w:p>
        </w:tc>
      </w:tr>
      <w:tr w:rsidR="00A946E1" w14:paraId="46FA31D1" w14:textId="77777777" w:rsidTr="00AF6720">
        <w:tc>
          <w:tcPr>
            <w:tcW w:w="3062" w:type="dxa"/>
            <w:tcBorders>
              <w:bottom w:val="nil"/>
            </w:tcBorders>
          </w:tcPr>
          <w:p w14:paraId="12F3A1A0" w14:textId="77777777" w:rsidR="00A946E1" w:rsidRDefault="00A946E1" w:rsidP="00EC2CFC">
            <w:pPr>
              <w:spacing w:line="360" w:lineRule="auto"/>
            </w:pPr>
            <w:r>
              <w:t>Not Retained</w:t>
            </w:r>
          </w:p>
        </w:tc>
        <w:tc>
          <w:tcPr>
            <w:tcW w:w="3144" w:type="dxa"/>
            <w:tcBorders>
              <w:bottom w:val="nil"/>
            </w:tcBorders>
          </w:tcPr>
          <w:p w14:paraId="278C225C" w14:textId="1E126552" w:rsidR="00A946E1" w:rsidRDefault="00A946E1" w:rsidP="00EC2CFC">
            <w:pPr>
              <w:tabs>
                <w:tab w:val="decimal" w:pos="1509"/>
              </w:tabs>
              <w:spacing w:line="360" w:lineRule="auto"/>
            </w:pPr>
            <w:r>
              <w:t>204</w:t>
            </w:r>
          </w:p>
        </w:tc>
        <w:tc>
          <w:tcPr>
            <w:tcW w:w="3144" w:type="dxa"/>
            <w:tcBorders>
              <w:bottom w:val="nil"/>
            </w:tcBorders>
          </w:tcPr>
          <w:p w14:paraId="460EF5D8" w14:textId="6922C637" w:rsidR="00A946E1" w:rsidRDefault="00A946E1" w:rsidP="00EC2CFC">
            <w:pPr>
              <w:tabs>
                <w:tab w:val="decimal" w:pos="1603"/>
              </w:tabs>
              <w:spacing w:line="360" w:lineRule="auto"/>
            </w:pPr>
            <w:r>
              <w:t>300</w:t>
            </w:r>
          </w:p>
        </w:tc>
      </w:tr>
      <w:tr w:rsidR="00A946E1" w14:paraId="6237C04B" w14:textId="77777777" w:rsidTr="00AF6720">
        <w:tc>
          <w:tcPr>
            <w:tcW w:w="3062" w:type="dxa"/>
            <w:tcBorders>
              <w:top w:val="nil"/>
              <w:bottom w:val="single" w:sz="4" w:space="0" w:color="auto"/>
            </w:tcBorders>
          </w:tcPr>
          <w:p w14:paraId="0755EA4F" w14:textId="77777777" w:rsidR="00A946E1" w:rsidRDefault="00A946E1" w:rsidP="00EC2CFC">
            <w:pPr>
              <w:spacing w:line="360" w:lineRule="auto"/>
            </w:pPr>
            <w:r>
              <w:t>Total</w:t>
            </w:r>
          </w:p>
        </w:tc>
        <w:tc>
          <w:tcPr>
            <w:tcW w:w="3144" w:type="dxa"/>
            <w:tcBorders>
              <w:top w:val="nil"/>
              <w:bottom w:val="single" w:sz="4" w:space="0" w:color="auto"/>
            </w:tcBorders>
          </w:tcPr>
          <w:p w14:paraId="060A81D7" w14:textId="77777777" w:rsidR="00A946E1" w:rsidRDefault="00A946E1" w:rsidP="00EC2CFC">
            <w:pPr>
              <w:tabs>
                <w:tab w:val="decimal" w:pos="1509"/>
              </w:tabs>
              <w:spacing w:line="360" w:lineRule="auto"/>
            </w:pPr>
            <w:r>
              <w:t>916</w:t>
            </w:r>
          </w:p>
        </w:tc>
        <w:tc>
          <w:tcPr>
            <w:tcW w:w="3144" w:type="dxa"/>
            <w:tcBorders>
              <w:top w:val="nil"/>
              <w:bottom w:val="single" w:sz="4" w:space="0" w:color="auto"/>
            </w:tcBorders>
          </w:tcPr>
          <w:p w14:paraId="5C23BDDD" w14:textId="77777777" w:rsidR="00A946E1" w:rsidRDefault="00A946E1" w:rsidP="00EC2CFC">
            <w:pPr>
              <w:tabs>
                <w:tab w:val="decimal" w:pos="1603"/>
              </w:tabs>
              <w:spacing w:line="360" w:lineRule="auto"/>
            </w:pPr>
            <w:r>
              <w:t>1162</w:t>
            </w:r>
          </w:p>
        </w:tc>
      </w:tr>
    </w:tbl>
    <w:p w14:paraId="047F0CDB" w14:textId="4C17CC43" w:rsidR="00FA34BB" w:rsidRPr="00FA34BB" w:rsidRDefault="00FA34BB" w:rsidP="00085BF2">
      <w:pPr>
        <w:rPr>
          <w:color w:val="FFFFFF" w:themeColor="background1"/>
        </w:rPr>
      </w:pPr>
      <w:bookmarkStart w:id="89" w:name="_Toc224458933"/>
      <w:r w:rsidRPr="00FA34BB">
        <w:rPr>
          <w:color w:val="FFFFFF" w:themeColor="background1"/>
        </w:rPr>
        <w:t xml:space="preserve">Table </w:t>
      </w:r>
      <w:r w:rsidRPr="00FA34BB">
        <w:rPr>
          <w:color w:val="FFFFFF" w:themeColor="background1"/>
        </w:rPr>
        <w:fldChar w:fldCharType="begin"/>
      </w:r>
      <w:r w:rsidRPr="00FA34BB">
        <w:rPr>
          <w:color w:val="FFFFFF" w:themeColor="background1"/>
        </w:rPr>
        <w:instrText xml:space="preserve"> SEQ Table \* ARABIC </w:instrText>
      </w:r>
      <w:r w:rsidRPr="00FA34BB">
        <w:rPr>
          <w:color w:val="FFFFFF" w:themeColor="background1"/>
        </w:rPr>
        <w:fldChar w:fldCharType="separate"/>
      </w:r>
      <w:r w:rsidR="00B4126D">
        <w:rPr>
          <w:noProof/>
          <w:color w:val="FFFFFF" w:themeColor="background1"/>
        </w:rPr>
        <w:t>6</w:t>
      </w:r>
      <w:r w:rsidRPr="00FA34BB">
        <w:rPr>
          <w:color w:val="FFFFFF" w:themeColor="background1"/>
        </w:rPr>
        <w:fldChar w:fldCharType="end"/>
      </w:r>
      <w:r w:rsidRPr="00FA34BB">
        <w:rPr>
          <w:color w:val="FFFFFF" w:themeColor="background1"/>
        </w:rPr>
        <w:t>. Fall to Fall Retention Rate by Dual Enrollment Status</w:t>
      </w:r>
      <w:bookmarkEnd w:id="89"/>
    </w:p>
    <w:p w14:paraId="2A98FABD" w14:textId="77777777" w:rsidR="00EA2ACC" w:rsidRDefault="00EA2ACC" w:rsidP="00EA2ACC"/>
    <w:p w14:paraId="75A9D48C" w14:textId="78BA9FFF" w:rsidR="00EE10C8" w:rsidRPr="00EE10C8" w:rsidRDefault="00EE10C8" w:rsidP="00EE10C8">
      <w:pPr>
        <w:pStyle w:val="Heading3"/>
        <w:rPr>
          <w:rFonts w:cs="Times New Roman"/>
        </w:rPr>
      </w:pPr>
      <w:bookmarkStart w:id="90" w:name="_Toc224458915"/>
      <w:r>
        <w:rPr>
          <w:rFonts w:cs="Times New Roman"/>
        </w:rPr>
        <w:lastRenderedPageBreak/>
        <w:t>Research Question 6</w:t>
      </w:r>
      <w:bookmarkEnd w:id="90"/>
    </w:p>
    <w:p w14:paraId="0E4787BE" w14:textId="499C50B5" w:rsidR="00D84B90" w:rsidRPr="00440C73" w:rsidRDefault="00D84B90" w:rsidP="00D84B90">
      <w:pPr>
        <w:ind w:firstLine="720"/>
        <w:rPr>
          <w:rFonts w:cs="Times New Roman"/>
          <w:color w:val="000000" w:themeColor="text1"/>
          <w:szCs w:val="24"/>
        </w:rPr>
      </w:pPr>
      <w:r w:rsidRPr="003D3AFE">
        <w:rPr>
          <w:rFonts w:cs="Times New Roman"/>
          <w:color w:val="000000" w:themeColor="text1"/>
          <w:szCs w:val="24"/>
        </w:rPr>
        <w:t xml:space="preserve">RQ 6: </w:t>
      </w:r>
      <w:r w:rsidRPr="003D3AFE">
        <w:rPr>
          <w:rFonts w:cs="Times New Roman"/>
        </w:rPr>
        <w:t xml:space="preserve">Is there a significant relationship between earning 30 or more semester credits during their first year of enrollment </w:t>
      </w:r>
      <w:r w:rsidR="00106023" w:rsidRPr="003D3AFE">
        <w:rPr>
          <w:rFonts w:cs="Times New Roman"/>
        </w:rPr>
        <w:t>between</w:t>
      </w:r>
      <w:r w:rsidRPr="003D3AFE">
        <w:rPr>
          <w:rFonts w:cs="Times New Roman"/>
        </w:rPr>
        <w:t xml:space="preserve"> dual enrollment status</w:t>
      </w:r>
      <w:r w:rsidR="00106023" w:rsidRPr="003D3AFE">
        <w:rPr>
          <w:rFonts w:cs="Times New Roman"/>
        </w:rPr>
        <w:t xml:space="preserve"> and non-dual enrollment status</w:t>
      </w:r>
      <w:r w:rsidRPr="003D3AFE">
        <w:rPr>
          <w:rFonts w:cs="Times New Roman"/>
        </w:rPr>
        <w:t>?</w:t>
      </w:r>
    </w:p>
    <w:p w14:paraId="692F48CE" w14:textId="666B9181" w:rsidR="00D84B90" w:rsidRDefault="00D84B90" w:rsidP="00D84B90">
      <w:pPr>
        <w:ind w:firstLine="720"/>
        <w:rPr>
          <w:rFonts w:cs="Times New Roman"/>
        </w:rPr>
      </w:pPr>
      <w:r w:rsidRPr="00440C73">
        <w:rPr>
          <w:rFonts w:cs="Times New Roman"/>
          <w:color w:val="000000" w:themeColor="text1"/>
          <w:szCs w:val="24"/>
        </w:rPr>
        <w:t>H</w:t>
      </w:r>
      <w:r w:rsidRPr="00440C73">
        <w:rPr>
          <w:rFonts w:cs="Times New Roman"/>
          <w:color w:val="000000" w:themeColor="text1"/>
          <w:szCs w:val="24"/>
          <w:vertAlign w:val="subscript"/>
        </w:rPr>
        <w:t>o</w:t>
      </w:r>
      <w:r w:rsidRPr="00440C73">
        <w:rPr>
          <w:rFonts w:cs="Times New Roman"/>
          <w:color w:val="000000" w:themeColor="text1"/>
          <w:szCs w:val="24"/>
        </w:rPr>
        <w:t xml:space="preserve">6: There is no significant relationship between </w:t>
      </w:r>
      <w:r w:rsidRPr="00440C73">
        <w:rPr>
          <w:rFonts w:cs="Times New Roman"/>
        </w:rPr>
        <w:t xml:space="preserve">earning 30 or more semester credits during their first year of enrollment </w:t>
      </w:r>
      <w:r w:rsidR="00106023">
        <w:rPr>
          <w:rFonts w:cs="Times New Roman"/>
        </w:rPr>
        <w:t>between</w:t>
      </w:r>
      <w:r w:rsidRPr="00440C73">
        <w:rPr>
          <w:rFonts w:cs="Times New Roman"/>
        </w:rPr>
        <w:t xml:space="preserve"> dual enrollment status</w:t>
      </w:r>
      <w:r w:rsidR="00106023">
        <w:rPr>
          <w:rFonts w:cs="Times New Roman"/>
        </w:rPr>
        <w:t xml:space="preserve"> and non-dual enrollment status</w:t>
      </w:r>
      <w:r w:rsidRPr="00440C73">
        <w:rPr>
          <w:rFonts w:cs="Times New Roman"/>
        </w:rPr>
        <w:t>.</w:t>
      </w:r>
    </w:p>
    <w:p w14:paraId="791739D4" w14:textId="6D21FE7D" w:rsidR="009B4265" w:rsidRDefault="009B4265" w:rsidP="009B4265">
      <w:pPr>
        <w:spacing w:after="160"/>
        <w:ind w:firstLine="720"/>
        <w:rPr>
          <w:rFonts w:cs="Times New Roman"/>
          <w:szCs w:val="24"/>
        </w:rPr>
      </w:pPr>
      <w:r>
        <w:rPr>
          <w:rFonts w:cs="Times New Roman"/>
          <w:color w:val="000000" w:themeColor="text1"/>
          <w:spacing w:val="3"/>
          <w:szCs w:val="24"/>
        </w:rPr>
        <w:t xml:space="preserve">A two-way contingency table analysis was conducted to evaluate whether there was a significant </w:t>
      </w:r>
      <w:r w:rsidR="00202888" w:rsidRPr="00440C73">
        <w:rPr>
          <w:rFonts w:cs="Times New Roman"/>
        </w:rPr>
        <w:t>relationship between earning 30 or more semester credits during their first year of enrollment and dual enrollment status</w:t>
      </w:r>
      <w:r>
        <w:rPr>
          <w:rFonts w:cs="Times New Roman"/>
        </w:rPr>
        <w:t>. The two variables were dual enrollment (</w:t>
      </w:r>
      <w:r w:rsidR="007E69F1">
        <w:rPr>
          <w:rFonts w:cs="Times New Roman"/>
        </w:rPr>
        <w:t>yes, no</w:t>
      </w:r>
      <w:r>
        <w:rPr>
          <w:rFonts w:cs="Times New Roman"/>
        </w:rPr>
        <w:t xml:space="preserve">) and </w:t>
      </w:r>
      <w:r w:rsidR="007E69F1">
        <w:rPr>
          <w:rFonts w:cs="Times New Roman"/>
        </w:rPr>
        <w:t xml:space="preserve">earning </w:t>
      </w:r>
      <w:r w:rsidR="007E69F1" w:rsidRPr="00440C73">
        <w:rPr>
          <w:rFonts w:cs="Times New Roman"/>
        </w:rPr>
        <w:t>30 or more semester credits during their first year of enrollment</w:t>
      </w:r>
      <w:r w:rsidR="007E69F1">
        <w:rPr>
          <w:rFonts w:cs="Times New Roman"/>
        </w:rPr>
        <w:t xml:space="preserve"> </w:t>
      </w:r>
      <w:r>
        <w:rPr>
          <w:rFonts w:cs="Times New Roman"/>
        </w:rPr>
        <w:t>(</w:t>
      </w:r>
      <w:r w:rsidR="007E69F1">
        <w:rPr>
          <w:rFonts w:cs="Times New Roman"/>
        </w:rPr>
        <w:t>yes, no</w:t>
      </w:r>
      <w:r>
        <w:rPr>
          <w:rFonts w:cs="Times New Roman"/>
        </w:rPr>
        <w:t xml:space="preserve">). Dual enrollment and </w:t>
      </w:r>
      <w:r w:rsidR="00202888" w:rsidRPr="00440C73">
        <w:rPr>
          <w:rFonts w:cs="Times New Roman"/>
        </w:rPr>
        <w:t>earning 30 or more semester credits during their first year of enrollment</w:t>
      </w:r>
      <w:r w:rsidR="00202888">
        <w:rPr>
          <w:rFonts w:cs="Times New Roman"/>
        </w:rPr>
        <w:t xml:space="preserve"> </w:t>
      </w:r>
      <w:r>
        <w:rPr>
          <w:rFonts w:cs="Times New Roman"/>
        </w:rPr>
        <w:t xml:space="preserve">were found to be significantly related, Pearson </w:t>
      </w:r>
      <w:r w:rsidRPr="00E52AAD">
        <w:rPr>
          <w:rFonts w:cs="Times New Roman"/>
          <w:szCs w:val="24"/>
        </w:rPr>
        <w:t>χ</w:t>
      </w:r>
      <w:r w:rsidRPr="00E52AAD">
        <w:rPr>
          <w:rFonts w:cs="Times New Roman"/>
          <w:szCs w:val="24"/>
          <w:vertAlign w:val="superscript"/>
        </w:rPr>
        <w:t>2</w:t>
      </w:r>
      <w:r>
        <w:rPr>
          <w:rFonts w:cs="Times New Roman"/>
          <w:color w:val="000000" w:themeColor="text1"/>
          <w:spacing w:val="3"/>
          <w:szCs w:val="24"/>
        </w:rPr>
        <w:t xml:space="preserve">(1, N=2078) = </w:t>
      </w:r>
      <w:r w:rsidR="007E69F1">
        <w:rPr>
          <w:rFonts w:cs="Times New Roman"/>
          <w:color w:val="000000" w:themeColor="text1"/>
          <w:spacing w:val="3"/>
          <w:szCs w:val="24"/>
        </w:rPr>
        <w:t>190.71</w:t>
      </w:r>
      <w:r>
        <w:rPr>
          <w:rFonts w:cs="Times New Roman"/>
          <w:color w:val="000000" w:themeColor="text1"/>
          <w:spacing w:val="3"/>
          <w:szCs w:val="24"/>
        </w:rPr>
        <w:t>, p</w:t>
      </w:r>
      <w:r>
        <w:rPr>
          <w:rFonts w:cs="Times New Roman"/>
          <w:szCs w:val="24"/>
        </w:rPr>
        <w:t xml:space="preserve"> </w:t>
      </w:r>
      <w:r w:rsidR="007E69F1" w:rsidRPr="00E52AAD">
        <w:rPr>
          <w:rFonts w:cs="Times New Roman"/>
          <w:szCs w:val="24"/>
        </w:rPr>
        <w:t>&lt;</w:t>
      </w:r>
      <w:r w:rsidRPr="00E52AAD">
        <w:rPr>
          <w:rFonts w:cs="Times New Roman"/>
          <w:szCs w:val="24"/>
        </w:rPr>
        <w:t>.0</w:t>
      </w:r>
      <w:r w:rsidR="007E69F1">
        <w:rPr>
          <w:rFonts w:cs="Times New Roman"/>
          <w:szCs w:val="24"/>
        </w:rPr>
        <w:t>01</w:t>
      </w:r>
      <w:r>
        <w:rPr>
          <w:rFonts w:cs="Times New Roman"/>
          <w:szCs w:val="24"/>
        </w:rPr>
        <w:t>, Cramer’s V = .</w:t>
      </w:r>
      <w:r w:rsidR="007E69F1">
        <w:rPr>
          <w:rFonts w:cs="Times New Roman"/>
          <w:szCs w:val="24"/>
        </w:rPr>
        <w:t>30</w:t>
      </w:r>
      <w:r>
        <w:rPr>
          <w:rFonts w:cs="Times New Roman"/>
          <w:szCs w:val="24"/>
        </w:rPr>
        <w:t xml:space="preserve">. Therefore, the null hypothesis </w:t>
      </w:r>
      <w:r w:rsidRPr="00127357">
        <w:rPr>
          <w:rFonts w:cs="Times New Roman"/>
          <w:color w:val="000000" w:themeColor="text1"/>
          <w:szCs w:val="24"/>
        </w:rPr>
        <w:t>H</w:t>
      </w:r>
      <w:r w:rsidRPr="00127357">
        <w:rPr>
          <w:rFonts w:cs="Times New Roman"/>
          <w:color w:val="000000" w:themeColor="text1"/>
          <w:szCs w:val="24"/>
          <w:vertAlign w:val="subscript"/>
        </w:rPr>
        <w:t>o</w:t>
      </w:r>
      <w:r w:rsidR="007E69F1">
        <w:rPr>
          <w:rFonts w:cs="Times New Roman"/>
          <w:color w:val="000000" w:themeColor="text1"/>
          <w:szCs w:val="24"/>
        </w:rPr>
        <w:t>6</w:t>
      </w:r>
      <w:r>
        <w:rPr>
          <w:rFonts w:cs="Times New Roman"/>
          <w:color w:val="000000" w:themeColor="text1"/>
          <w:szCs w:val="24"/>
        </w:rPr>
        <w:t xml:space="preserve"> </w:t>
      </w:r>
      <w:r>
        <w:rPr>
          <w:rFonts w:cs="Times New Roman"/>
          <w:szCs w:val="24"/>
        </w:rPr>
        <w:t xml:space="preserve">was rejected. Students who took dual enrollment were significantly more likely to </w:t>
      </w:r>
      <w:r w:rsidR="00A936AD" w:rsidRPr="00440C73">
        <w:rPr>
          <w:rFonts w:cs="Times New Roman"/>
        </w:rPr>
        <w:t>earn 30 or more semester credits during their first year of enrollment</w:t>
      </w:r>
      <w:r w:rsidR="00A936AD">
        <w:rPr>
          <w:rFonts w:cs="Times New Roman"/>
        </w:rPr>
        <w:t xml:space="preserve"> compared to their non</w:t>
      </w:r>
      <w:r w:rsidR="009053AB">
        <w:rPr>
          <w:rFonts w:cs="Times New Roman"/>
        </w:rPr>
        <w:t>-</w:t>
      </w:r>
      <w:r w:rsidR="00A936AD">
        <w:rPr>
          <w:rFonts w:cs="Times New Roman"/>
        </w:rPr>
        <w:t>dual enrollment counterparts</w:t>
      </w:r>
      <w:r>
        <w:rPr>
          <w:rFonts w:cs="Times New Roman"/>
          <w:szCs w:val="24"/>
        </w:rPr>
        <w:t xml:space="preserve">. See Figure </w:t>
      </w:r>
      <w:r w:rsidR="007B4FB6">
        <w:rPr>
          <w:rFonts w:cs="Times New Roman"/>
          <w:szCs w:val="24"/>
        </w:rPr>
        <w:t>6</w:t>
      </w:r>
      <w:r>
        <w:rPr>
          <w:rFonts w:cs="Times New Roman"/>
          <w:szCs w:val="24"/>
        </w:rPr>
        <w:t xml:space="preserve"> for visual representation of this finding. </w:t>
      </w:r>
    </w:p>
    <w:p w14:paraId="09ECC92D" w14:textId="5BEE67B0" w:rsidR="00134708" w:rsidRDefault="00134708" w:rsidP="009B4265">
      <w:pPr>
        <w:spacing w:after="160"/>
        <w:ind w:firstLine="720"/>
        <w:rPr>
          <w:rFonts w:cs="Times New Roman"/>
          <w:szCs w:val="24"/>
        </w:rPr>
      </w:pPr>
    </w:p>
    <w:p w14:paraId="640CA872" w14:textId="54A711A0" w:rsidR="00134708" w:rsidRDefault="00134708" w:rsidP="009B4265">
      <w:pPr>
        <w:spacing w:after="160"/>
        <w:ind w:firstLine="720"/>
        <w:rPr>
          <w:rFonts w:cs="Times New Roman"/>
          <w:szCs w:val="24"/>
        </w:rPr>
      </w:pPr>
    </w:p>
    <w:p w14:paraId="285C1CC4" w14:textId="70C8456B" w:rsidR="00134708" w:rsidRDefault="00134708" w:rsidP="009B4265">
      <w:pPr>
        <w:spacing w:after="160"/>
        <w:ind w:firstLine="720"/>
        <w:rPr>
          <w:rFonts w:cs="Times New Roman"/>
          <w:szCs w:val="24"/>
        </w:rPr>
      </w:pPr>
    </w:p>
    <w:p w14:paraId="4E1C1F3E" w14:textId="27E773A7" w:rsidR="00134708" w:rsidRDefault="00134708" w:rsidP="009B4265">
      <w:pPr>
        <w:spacing w:after="160"/>
        <w:ind w:firstLine="720"/>
        <w:rPr>
          <w:rFonts w:cs="Times New Roman"/>
          <w:szCs w:val="24"/>
        </w:rPr>
      </w:pPr>
    </w:p>
    <w:p w14:paraId="0BAA96FE" w14:textId="77777777" w:rsidR="00134708" w:rsidRDefault="00134708" w:rsidP="00EA2ACC">
      <w:pPr>
        <w:spacing w:after="160"/>
        <w:rPr>
          <w:rFonts w:cs="Times New Roman"/>
          <w:szCs w:val="24"/>
        </w:rPr>
      </w:pPr>
    </w:p>
    <w:p w14:paraId="0AC7B381" w14:textId="2D9D903E" w:rsidR="009B4265" w:rsidRPr="00C534AC" w:rsidRDefault="009B4265" w:rsidP="00C534AC">
      <w:pPr>
        <w:rPr>
          <w:b/>
          <w:bCs/>
        </w:rPr>
      </w:pPr>
      <w:r w:rsidRPr="00C534AC">
        <w:rPr>
          <w:b/>
          <w:bCs/>
        </w:rPr>
        <w:lastRenderedPageBreak/>
        <w:t xml:space="preserve">Figure </w:t>
      </w:r>
      <w:r w:rsidR="000232E0" w:rsidRPr="00C534AC">
        <w:rPr>
          <w:b/>
          <w:bCs/>
        </w:rPr>
        <w:t>6</w:t>
      </w:r>
    </w:p>
    <w:p w14:paraId="10B3733E" w14:textId="7E79A5B1" w:rsidR="009A6168" w:rsidRDefault="007A319F" w:rsidP="009A6168">
      <w:pPr>
        <w:rPr>
          <w:i/>
          <w:iCs/>
        </w:rPr>
      </w:pPr>
      <w:r>
        <w:rPr>
          <w:i/>
          <w:iCs/>
        </w:rPr>
        <w:t>Thirty</w:t>
      </w:r>
      <w:r w:rsidR="009A6168" w:rsidRPr="009A6168">
        <w:rPr>
          <w:i/>
          <w:iCs/>
        </w:rPr>
        <w:t xml:space="preserve"> or More Credits Earned by end of Freshman Year by Dual Enrollment Status</w:t>
      </w:r>
    </w:p>
    <w:p w14:paraId="1AC1B395" w14:textId="3FD9175A" w:rsidR="00134708" w:rsidRPr="00AF6720" w:rsidRDefault="00AF6720" w:rsidP="00AF6720">
      <w:pPr>
        <w:autoSpaceDE w:val="0"/>
        <w:autoSpaceDN w:val="0"/>
        <w:adjustRightInd w:val="0"/>
        <w:spacing w:line="240" w:lineRule="auto"/>
        <w:rPr>
          <w:rFonts w:cs="Times New Roman"/>
          <w:szCs w:val="24"/>
        </w:rPr>
      </w:pPr>
      <w:r>
        <w:rPr>
          <w:rFonts w:cs="Times New Roman"/>
          <w:noProof/>
          <w:szCs w:val="24"/>
        </w:rPr>
        <w:drawing>
          <wp:inline distT="0" distB="0" distL="0" distR="0" wp14:anchorId="6FB7C85D" wp14:editId="746A0556">
            <wp:extent cx="5943600" cy="3494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4405"/>
                    </a:xfrm>
                    <a:prstGeom prst="rect">
                      <a:avLst/>
                    </a:prstGeom>
                    <a:noFill/>
                    <a:ln>
                      <a:noFill/>
                    </a:ln>
                  </pic:spPr>
                </pic:pic>
              </a:graphicData>
            </a:graphic>
          </wp:inline>
        </w:drawing>
      </w:r>
    </w:p>
    <w:p w14:paraId="3E1234B8" w14:textId="08D32AD8" w:rsidR="00134708" w:rsidRPr="00EA2ACC" w:rsidRDefault="00134708" w:rsidP="00C534AC">
      <w:pPr>
        <w:rPr>
          <w:rFonts w:cs="Times New Roman"/>
          <w:color w:val="FFFFFF" w:themeColor="background1"/>
          <w:szCs w:val="24"/>
        </w:rPr>
      </w:pPr>
      <w:bookmarkStart w:id="91" w:name="_Toc224458941"/>
      <w:r w:rsidRPr="00EA2ACC">
        <w:rPr>
          <w:color w:val="FFFFFF" w:themeColor="background1"/>
        </w:rPr>
        <w:t xml:space="preserve">Figure </w:t>
      </w:r>
      <w:r w:rsidRPr="00EA2ACC">
        <w:rPr>
          <w:color w:val="FFFFFF" w:themeColor="background1"/>
        </w:rPr>
        <w:fldChar w:fldCharType="begin"/>
      </w:r>
      <w:r w:rsidRPr="00EA2ACC">
        <w:rPr>
          <w:color w:val="FFFFFF" w:themeColor="background1"/>
        </w:rPr>
        <w:instrText xml:space="preserve"> SEQ Figure \* ARABIC </w:instrText>
      </w:r>
      <w:r w:rsidRPr="00EA2ACC">
        <w:rPr>
          <w:color w:val="FFFFFF" w:themeColor="background1"/>
        </w:rPr>
        <w:fldChar w:fldCharType="separate"/>
      </w:r>
      <w:r w:rsidR="00B4126D">
        <w:rPr>
          <w:noProof/>
          <w:color w:val="FFFFFF" w:themeColor="background1"/>
        </w:rPr>
        <w:t>6</w:t>
      </w:r>
      <w:r w:rsidRPr="00EA2ACC">
        <w:rPr>
          <w:color w:val="FFFFFF" w:themeColor="background1"/>
        </w:rPr>
        <w:fldChar w:fldCharType="end"/>
      </w:r>
      <w:r w:rsidRPr="00EA2ACC">
        <w:rPr>
          <w:color w:val="FFFFFF" w:themeColor="background1"/>
        </w:rPr>
        <w:t xml:space="preserve">. </w:t>
      </w:r>
      <w:r w:rsidR="007A319F" w:rsidRPr="00EA2ACC">
        <w:rPr>
          <w:color w:val="FFFFFF" w:themeColor="background1"/>
        </w:rPr>
        <w:t>Thirty</w:t>
      </w:r>
      <w:r w:rsidRPr="00EA2ACC">
        <w:rPr>
          <w:color w:val="FFFFFF" w:themeColor="background1"/>
        </w:rPr>
        <w:t xml:space="preserve"> or More Credits Earned by end of Freshman Year by Dual Enrollment Status</w:t>
      </w:r>
      <w:bookmarkEnd w:id="91"/>
    </w:p>
    <w:p w14:paraId="2A665F32" w14:textId="141328D5" w:rsidR="008B0D55" w:rsidRPr="00C534AC" w:rsidRDefault="008B0D55" w:rsidP="00C534AC">
      <w:pPr>
        <w:rPr>
          <w:b/>
          <w:bCs/>
        </w:rPr>
      </w:pPr>
      <w:r w:rsidRPr="00C534AC">
        <w:rPr>
          <w:b/>
          <w:bCs/>
        </w:rPr>
        <w:t xml:space="preserve">Table </w:t>
      </w:r>
      <w:r w:rsidR="00A61F36" w:rsidRPr="00C534AC">
        <w:rPr>
          <w:b/>
          <w:bCs/>
        </w:rPr>
        <w:t>7</w:t>
      </w:r>
    </w:p>
    <w:p w14:paraId="6384E66B" w14:textId="6A54912E" w:rsidR="00B46B83" w:rsidRPr="008D6762" w:rsidRDefault="00380127" w:rsidP="009B4265">
      <w:pPr>
        <w:spacing w:after="160"/>
        <w:rPr>
          <w:rFonts w:cs="Times New Roman"/>
          <w:i/>
          <w:iCs/>
          <w:color w:val="000000" w:themeColor="text1"/>
          <w:szCs w:val="24"/>
        </w:rPr>
      </w:pPr>
      <w:r>
        <w:rPr>
          <w:rFonts w:cs="Times New Roman"/>
          <w:i/>
          <w:iCs/>
          <w:color w:val="000000" w:themeColor="text1"/>
          <w:szCs w:val="24"/>
        </w:rPr>
        <w:t>Thirty</w:t>
      </w:r>
      <w:r w:rsidR="008353E2">
        <w:rPr>
          <w:rFonts w:cs="Times New Roman"/>
          <w:i/>
          <w:iCs/>
          <w:color w:val="000000" w:themeColor="text1"/>
          <w:szCs w:val="24"/>
        </w:rPr>
        <w:t xml:space="preserve"> or more Credit Hours by Dual Enrollment Status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3144"/>
        <w:gridCol w:w="3144"/>
      </w:tblGrid>
      <w:tr w:rsidR="008D6762" w14:paraId="377BDC8A" w14:textId="77777777" w:rsidTr="00EC2CFC">
        <w:tc>
          <w:tcPr>
            <w:tcW w:w="3062" w:type="dxa"/>
            <w:tcBorders>
              <w:top w:val="single" w:sz="4" w:space="0" w:color="auto"/>
              <w:bottom w:val="single" w:sz="4" w:space="0" w:color="auto"/>
            </w:tcBorders>
          </w:tcPr>
          <w:p w14:paraId="2DF58F8C" w14:textId="77777777" w:rsidR="008D6762" w:rsidRDefault="008D6762" w:rsidP="00EC2CFC">
            <w:pPr>
              <w:spacing w:line="360" w:lineRule="auto"/>
            </w:pPr>
          </w:p>
        </w:tc>
        <w:tc>
          <w:tcPr>
            <w:tcW w:w="3144" w:type="dxa"/>
            <w:tcBorders>
              <w:top w:val="single" w:sz="4" w:space="0" w:color="auto"/>
              <w:bottom w:val="single" w:sz="4" w:space="0" w:color="auto"/>
            </w:tcBorders>
          </w:tcPr>
          <w:p w14:paraId="4090BEB5" w14:textId="77777777" w:rsidR="008D6762" w:rsidRDefault="008D6762" w:rsidP="00EC2CFC">
            <w:pPr>
              <w:spacing w:line="360" w:lineRule="auto"/>
              <w:jc w:val="center"/>
            </w:pPr>
            <w:r>
              <w:t>Dual Enrollment Student</w:t>
            </w:r>
          </w:p>
        </w:tc>
        <w:tc>
          <w:tcPr>
            <w:tcW w:w="3144" w:type="dxa"/>
            <w:tcBorders>
              <w:top w:val="single" w:sz="4" w:space="0" w:color="auto"/>
              <w:bottom w:val="single" w:sz="4" w:space="0" w:color="auto"/>
            </w:tcBorders>
          </w:tcPr>
          <w:p w14:paraId="0BF0FF39" w14:textId="77777777" w:rsidR="008D6762" w:rsidRDefault="008D6762" w:rsidP="00EC2CFC">
            <w:pPr>
              <w:spacing w:line="360" w:lineRule="auto"/>
              <w:jc w:val="center"/>
            </w:pPr>
            <w:r>
              <w:t>Non-Dual Enrollment Student</w:t>
            </w:r>
          </w:p>
        </w:tc>
      </w:tr>
      <w:tr w:rsidR="008D6762" w14:paraId="4E7CE631" w14:textId="77777777" w:rsidTr="00EC2CFC">
        <w:tc>
          <w:tcPr>
            <w:tcW w:w="3062" w:type="dxa"/>
            <w:tcBorders>
              <w:top w:val="single" w:sz="4" w:space="0" w:color="auto"/>
            </w:tcBorders>
          </w:tcPr>
          <w:p w14:paraId="25C861C4" w14:textId="78320EDE" w:rsidR="008D6762" w:rsidRDefault="008D6762" w:rsidP="00EC2CFC">
            <w:pPr>
              <w:spacing w:line="360" w:lineRule="auto"/>
            </w:pPr>
            <w:r>
              <w:t>30 or More Credits</w:t>
            </w:r>
          </w:p>
        </w:tc>
        <w:tc>
          <w:tcPr>
            <w:tcW w:w="3144" w:type="dxa"/>
            <w:tcBorders>
              <w:top w:val="single" w:sz="4" w:space="0" w:color="auto"/>
            </w:tcBorders>
          </w:tcPr>
          <w:p w14:paraId="135B688F" w14:textId="49090AB8" w:rsidR="008D6762" w:rsidRDefault="008D6762" w:rsidP="00EC2CFC">
            <w:pPr>
              <w:tabs>
                <w:tab w:val="decimal" w:pos="1509"/>
              </w:tabs>
              <w:spacing w:line="360" w:lineRule="auto"/>
            </w:pPr>
            <w:r>
              <w:t>713</w:t>
            </w:r>
          </w:p>
        </w:tc>
        <w:tc>
          <w:tcPr>
            <w:tcW w:w="3144" w:type="dxa"/>
            <w:tcBorders>
              <w:top w:val="single" w:sz="4" w:space="0" w:color="auto"/>
            </w:tcBorders>
          </w:tcPr>
          <w:p w14:paraId="34C6ECF3" w14:textId="056EDDD5" w:rsidR="008D6762" w:rsidRDefault="008D6762" w:rsidP="00EC2CFC">
            <w:pPr>
              <w:tabs>
                <w:tab w:val="decimal" w:pos="1603"/>
              </w:tabs>
              <w:spacing w:line="360" w:lineRule="auto"/>
            </w:pPr>
            <w:r>
              <w:t>559</w:t>
            </w:r>
          </w:p>
        </w:tc>
      </w:tr>
      <w:tr w:rsidR="008D6762" w14:paraId="6CCA6384" w14:textId="77777777" w:rsidTr="00380127">
        <w:tc>
          <w:tcPr>
            <w:tcW w:w="3062" w:type="dxa"/>
            <w:tcBorders>
              <w:bottom w:val="nil"/>
            </w:tcBorders>
          </w:tcPr>
          <w:p w14:paraId="2897BD52" w14:textId="177A2E5F" w:rsidR="008D6762" w:rsidRDefault="001C27E7" w:rsidP="00EC2CFC">
            <w:pPr>
              <w:spacing w:line="360" w:lineRule="auto"/>
            </w:pPr>
            <w:r>
              <w:t>Less than 30</w:t>
            </w:r>
            <w:r w:rsidR="008D6762">
              <w:t xml:space="preserve"> Credits</w:t>
            </w:r>
          </w:p>
        </w:tc>
        <w:tc>
          <w:tcPr>
            <w:tcW w:w="3144" w:type="dxa"/>
            <w:tcBorders>
              <w:bottom w:val="nil"/>
            </w:tcBorders>
          </w:tcPr>
          <w:p w14:paraId="6046AC42" w14:textId="23F682CF" w:rsidR="008D6762" w:rsidRDefault="008D6762" w:rsidP="00EC2CFC">
            <w:pPr>
              <w:tabs>
                <w:tab w:val="decimal" w:pos="1509"/>
              </w:tabs>
              <w:spacing w:line="360" w:lineRule="auto"/>
            </w:pPr>
            <w:r>
              <w:t>203</w:t>
            </w:r>
          </w:p>
        </w:tc>
        <w:tc>
          <w:tcPr>
            <w:tcW w:w="3144" w:type="dxa"/>
            <w:tcBorders>
              <w:bottom w:val="nil"/>
            </w:tcBorders>
          </w:tcPr>
          <w:p w14:paraId="124B4608" w14:textId="645A1099" w:rsidR="008D6762" w:rsidRDefault="008D6762" w:rsidP="00EC2CFC">
            <w:pPr>
              <w:tabs>
                <w:tab w:val="decimal" w:pos="1603"/>
              </w:tabs>
              <w:spacing w:line="360" w:lineRule="auto"/>
            </w:pPr>
            <w:r>
              <w:t>603</w:t>
            </w:r>
          </w:p>
        </w:tc>
      </w:tr>
      <w:tr w:rsidR="008D6762" w14:paraId="01A0913F" w14:textId="77777777" w:rsidTr="00380127">
        <w:tc>
          <w:tcPr>
            <w:tcW w:w="3062" w:type="dxa"/>
            <w:tcBorders>
              <w:top w:val="nil"/>
              <w:bottom w:val="single" w:sz="4" w:space="0" w:color="auto"/>
            </w:tcBorders>
          </w:tcPr>
          <w:p w14:paraId="2B58AB27" w14:textId="77777777" w:rsidR="008D6762" w:rsidRDefault="008D6762" w:rsidP="00EC2CFC">
            <w:pPr>
              <w:spacing w:line="360" w:lineRule="auto"/>
            </w:pPr>
            <w:r>
              <w:t>Total</w:t>
            </w:r>
          </w:p>
        </w:tc>
        <w:tc>
          <w:tcPr>
            <w:tcW w:w="3144" w:type="dxa"/>
            <w:tcBorders>
              <w:top w:val="nil"/>
              <w:bottom w:val="single" w:sz="4" w:space="0" w:color="auto"/>
            </w:tcBorders>
          </w:tcPr>
          <w:p w14:paraId="03AAB5BD" w14:textId="77777777" w:rsidR="008D6762" w:rsidRDefault="008D6762" w:rsidP="00EC2CFC">
            <w:pPr>
              <w:tabs>
                <w:tab w:val="decimal" w:pos="1509"/>
              </w:tabs>
              <w:spacing w:line="360" w:lineRule="auto"/>
            </w:pPr>
            <w:r>
              <w:t>916</w:t>
            </w:r>
          </w:p>
        </w:tc>
        <w:tc>
          <w:tcPr>
            <w:tcW w:w="3144" w:type="dxa"/>
            <w:tcBorders>
              <w:top w:val="nil"/>
              <w:bottom w:val="single" w:sz="4" w:space="0" w:color="auto"/>
            </w:tcBorders>
          </w:tcPr>
          <w:p w14:paraId="470ABA79" w14:textId="77777777" w:rsidR="008D6762" w:rsidRDefault="008D6762" w:rsidP="00EC2CFC">
            <w:pPr>
              <w:tabs>
                <w:tab w:val="decimal" w:pos="1603"/>
              </w:tabs>
              <w:spacing w:line="360" w:lineRule="auto"/>
            </w:pPr>
            <w:r>
              <w:t>1162</w:t>
            </w:r>
          </w:p>
        </w:tc>
      </w:tr>
    </w:tbl>
    <w:p w14:paraId="6947CEB7" w14:textId="472841F2" w:rsidR="008C1CDE" w:rsidRDefault="00B613E1" w:rsidP="00AC3C51">
      <w:pPr>
        <w:spacing w:after="160"/>
        <w:rPr>
          <w:color w:val="FFFFFF" w:themeColor="background1"/>
        </w:rPr>
      </w:pPr>
      <w:bookmarkStart w:id="92" w:name="_Toc224458934"/>
      <w:r w:rsidRPr="000A4042">
        <w:rPr>
          <w:rFonts w:cs="Times New Roman"/>
          <w:color w:val="FFFFFF" w:themeColor="background1"/>
          <w:szCs w:val="24"/>
        </w:rPr>
        <w:t>Table</w:t>
      </w:r>
      <w:r w:rsidRPr="000A4042">
        <w:rPr>
          <w:color w:val="FFFFFF" w:themeColor="background1"/>
        </w:rPr>
        <w:t xml:space="preserve"> </w:t>
      </w:r>
      <w:r w:rsidRPr="000A4042">
        <w:rPr>
          <w:color w:val="FFFFFF" w:themeColor="background1"/>
        </w:rPr>
        <w:fldChar w:fldCharType="begin"/>
      </w:r>
      <w:r w:rsidRPr="000A4042">
        <w:rPr>
          <w:color w:val="FFFFFF" w:themeColor="background1"/>
        </w:rPr>
        <w:instrText xml:space="preserve"> SEQ Table \* ARABIC </w:instrText>
      </w:r>
      <w:r w:rsidRPr="000A4042">
        <w:rPr>
          <w:color w:val="FFFFFF" w:themeColor="background1"/>
        </w:rPr>
        <w:fldChar w:fldCharType="separate"/>
      </w:r>
      <w:r w:rsidR="00B4126D">
        <w:rPr>
          <w:noProof/>
          <w:color w:val="FFFFFF" w:themeColor="background1"/>
        </w:rPr>
        <w:t>7</w:t>
      </w:r>
      <w:r w:rsidRPr="000A4042">
        <w:rPr>
          <w:color w:val="FFFFFF" w:themeColor="background1"/>
        </w:rPr>
        <w:fldChar w:fldCharType="end"/>
      </w:r>
      <w:r w:rsidRPr="000A4042">
        <w:rPr>
          <w:color w:val="FFFFFF" w:themeColor="background1"/>
        </w:rPr>
        <w:t xml:space="preserve">. </w:t>
      </w:r>
      <w:r w:rsidR="00947607" w:rsidRPr="000A4042">
        <w:rPr>
          <w:color w:val="FFFFFF" w:themeColor="background1"/>
        </w:rPr>
        <w:t>Thirty</w:t>
      </w:r>
      <w:r w:rsidRPr="000A4042">
        <w:rPr>
          <w:color w:val="FFFFFF" w:themeColor="background1"/>
        </w:rPr>
        <w:t xml:space="preserve"> or more Credit Hours by Dual Enrollment Status</w:t>
      </w:r>
      <w:bookmarkEnd w:id="92"/>
    </w:p>
    <w:p w14:paraId="2E94535C" w14:textId="77777777" w:rsidR="00AC3C51" w:rsidRPr="00AC3C51" w:rsidRDefault="00AC3C51" w:rsidP="00AC3C51">
      <w:pPr>
        <w:spacing w:after="160"/>
        <w:rPr>
          <w:color w:val="FFFFFF" w:themeColor="background1"/>
        </w:rPr>
      </w:pPr>
    </w:p>
    <w:p w14:paraId="1DEE29D5" w14:textId="644940CC" w:rsidR="00EE10C8" w:rsidRPr="00F53D48" w:rsidRDefault="00EE10C8" w:rsidP="00EE10C8">
      <w:pPr>
        <w:pStyle w:val="Heading3"/>
        <w:rPr>
          <w:rFonts w:cs="Times New Roman"/>
        </w:rPr>
      </w:pPr>
      <w:bookmarkStart w:id="93" w:name="_Toc224458916"/>
      <w:r>
        <w:rPr>
          <w:rFonts w:cs="Times New Roman"/>
        </w:rPr>
        <w:lastRenderedPageBreak/>
        <w:t>Research Question 7</w:t>
      </w:r>
      <w:bookmarkEnd w:id="93"/>
    </w:p>
    <w:p w14:paraId="5608FD4C" w14:textId="2EF35E61" w:rsidR="00D84B90" w:rsidRPr="00440C73" w:rsidRDefault="00D84B90" w:rsidP="00D84B90">
      <w:pPr>
        <w:ind w:firstLine="720"/>
        <w:rPr>
          <w:rFonts w:cs="Times New Roman"/>
          <w:color w:val="000000" w:themeColor="text1"/>
          <w:szCs w:val="24"/>
        </w:rPr>
      </w:pPr>
      <w:r w:rsidRPr="00FC5C0D">
        <w:rPr>
          <w:rFonts w:cs="Times New Roman"/>
          <w:color w:val="000000" w:themeColor="text1"/>
          <w:szCs w:val="24"/>
        </w:rPr>
        <w:t xml:space="preserve">RQ 7: </w:t>
      </w:r>
      <w:r w:rsidRPr="00FC5C0D">
        <w:rPr>
          <w:rFonts w:cs="Times New Roman"/>
        </w:rPr>
        <w:t>Is there a significant difference in the number of academic credits earned at the end of their freshman year between students that participated in dual enrollment and students that did not participate in dual enrollment while in high school</w:t>
      </w:r>
      <w:r w:rsidRPr="00FC5C0D">
        <w:rPr>
          <w:rFonts w:cs="Times New Roman"/>
          <w:color w:val="000000" w:themeColor="text1"/>
          <w:szCs w:val="24"/>
        </w:rPr>
        <w:t>?</w:t>
      </w:r>
    </w:p>
    <w:p w14:paraId="31EA2D1E" w14:textId="1A73FB2A" w:rsidR="00D84B90" w:rsidRDefault="00D84B90" w:rsidP="00D84B90">
      <w:pPr>
        <w:ind w:firstLine="720"/>
        <w:rPr>
          <w:rFonts w:cs="Times New Roman"/>
          <w:color w:val="000000" w:themeColor="text1"/>
          <w:szCs w:val="24"/>
        </w:rPr>
      </w:pPr>
      <w:r w:rsidRPr="00440C73">
        <w:rPr>
          <w:rFonts w:cs="Times New Roman"/>
          <w:color w:val="000000" w:themeColor="text1"/>
          <w:szCs w:val="24"/>
        </w:rPr>
        <w:t>H</w:t>
      </w:r>
      <w:r w:rsidRPr="00440C73">
        <w:rPr>
          <w:rFonts w:cs="Times New Roman"/>
          <w:color w:val="000000" w:themeColor="text1"/>
          <w:szCs w:val="24"/>
          <w:vertAlign w:val="subscript"/>
        </w:rPr>
        <w:t>o</w:t>
      </w:r>
      <w:r w:rsidRPr="00440C73">
        <w:rPr>
          <w:rFonts w:cs="Times New Roman"/>
          <w:color w:val="000000" w:themeColor="text1"/>
          <w:szCs w:val="24"/>
        </w:rPr>
        <w:t xml:space="preserve">7: There is no significant </w:t>
      </w:r>
      <w:r w:rsidRPr="00440C73">
        <w:rPr>
          <w:rFonts w:cs="Times New Roman"/>
        </w:rPr>
        <w:t>difference in the number of academic credits earned at the end of their freshman year between students that participated in dual enrollment and students that did not participate in dual enrollment while in high school</w:t>
      </w:r>
      <w:r w:rsidRPr="00440C73">
        <w:rPr>
          <w:rFonts w:cs="Times New Roman"/>
          <w:color w:val="000000" w:themeColor="text1"/>
          <w:szCs w:val="24"/>
        </w:rPr>
        <w:t>.</w:t>
      </w:r>
    </w:p>
    <w:p w14:paraId="32A43078" w14:textId="3C7A57A5" w:rsidR="004064EF" w:rsidRDefault="00202888" w:rsidP="00480E63">
      <w:pPr>
        <w:spacing w:after="160"/>
        <w:ind w:firstLine="720"/>
        <w:rPr>
          <w:rFonts w:cs="Times New Roman"/>
          <w:szCs w:val="24"/>
        </w:rPr>
      </w:pPr>
      <w:r>
        <w:rPr>
          <w:rFonts w:cs="Times New Roman"/>
          <w:color w:val="000000" w:themeColor="text1"/>
          <w:spacing w:val="3"/>
          <w:szCs w:val="24"/>
        </w:rPr>
        <w:t>An independent</w:t>
      </w:r>
      <w:r w:rsidR="00DF4B2E">
        <w:rPr>
          <w:rFonts w:cs="Times New Roman"/>
          <w:color w:val="000000" w:themeColor="text1"/>
          <w:spacing w:val="3"/>
          <w:szCs w:val="24"/>
        </w:rPr>
        <w:t>-</w:t>
      </w:r>
      <w:r>
        <w:rPr>
          <w:rFonts w:cs="Times New Roman"/>
          <w:color w:val="000000" w:themeColor="text1"/>
          <w:spacing w:val="3"/>
          <w:szCs w:val="24"/>
        </w:rPr>
        <w:t xml:space="preserve">samples </w:t>
      </w:r>
      <w:r w:rsidR="00DF4B2E">
        <w:rPr>
          <w:rFonts w:cs="Times New Roman"/>
          <w:color w:val="000000" w:themeColor="text1"/>
          <w:spacing w:val="3"/>
          <w:szCs w:val="24"/>
        </w:rPr>
        <w:t>t-</w:t>
      </w:r>
      <w:r>
        <w:rPr>
          <w:rFonts w:cs="Times New Roman"/>
          <w:color w:val="000000" w:themeColor="text1"/>
          <w:spacing w:val="3"/>
          <w:szCs w:val="24"/>
        </w:rPr>
        <w:t xml:space="preserve">test was conducted to evaluate if </w:t>
      </w:r>
      <w:r>
        <w:rPr>
          <w:rFonts w:cs="Times New Roman"/>
        </w:rPr>
        <w:t xml:space="preserve">there is a significant difference in the </w:t>
      </w:r>
      <w:r w:rsidR="00224740" w:rsidRPr="00440C73">
        <w:rPr>
          <w:rFonts w:cs="Times New Roman"/>
        </w:rPr>
        <w:t>number of academic credits earned at the end of their freshman year between students that participated in dual enrollment and students that did not participate in dual enrollment while in high school</w:t>
      </w:r>
      <w:r>
        <w:rPr>
          <w:rFonts w:cs="Times New Roman"/>
        </w:rPr>
        <w:t xml:space="preserve">. </w:t>
      </w:r>
      <w:r w:rsidR="00224740">
        <w:rPr>
          <w:rFonts w:cs="Times New Roman"/>
        </w:rPr>
        <w:t>Number of academic credits earned</w:t>
      </w:r>
      <w:r>
        <w:rPr>
          <w:rFonts w:cs="Times New Roman"/>
        </w:rPr>
        <w:t xml:space="preserve"> at the end of year one was the test variable and dual enrollment status (yes, no) was the grouping variable. The Lev</w:t>
      </w:r>
      <w:r w:rsidR="00826EA5">
        <w:rPr>
          <w:rFonts w:cs="Times New Roman"/>
        </w:rPr>
        <w:t>e</w:t>
      </w:r>
      <w:r>
        <w:rPr>
          <w:rFonts w:cs="Times New Roman"/>
        </w:rPr>
        <w:t xml:space="preserve">ne’s test for equality of variances was found to be significant (p </w:t>
      </w:r>
      <w:r w:rsidRPr="00E52AAD">
        <w:rPr>
          <w:rFonts w:cs="Times New Roman"/>
          <w:szCs w:val="24"/>
        </w:rPr>
        <w:t xml:space="preserve">&lt; </w:t>
      </w:r>
      <w:r>
        <w:rPr>
          <w:rFonts w:cs="Times New Roman"/>
          <w:szCs w:val="24"/>
        </w:rPr>
        <w:t xml:space="preserve">.001). </w:t>
      </w:r>
      <w:r w:rsidR="00486E09">
        <w:rPr>
          <w:rFonts w:cs="Times New Roman"/>
          <w:szCs w:val="24"/>
        </w:rPr>
        <w:t xml:space="preserve">Therefore, equal variances were not assumed. </w:t>
      </w:r>
      <w:r>
        <w:rPr>
          <w:rFonts w:cs="Times New Roman"/>
          <w:szCs w:val="24"/>
        </w:rPr>
        <w:t xml:space="preserve">The </w:t>
      </w:r>
      <w:r w:rsidR="003B5698">
        <w:rPr>
          <w:rFonts w:cs="Times New Roman"/>
          <w:szCs w:val="24"/>
        </w:rPr>
        <w:t>t-</w:t>
      </w:r>
      <w:r>
        <w:rPr>
          <w:rFonts w:cs="Times New Roman"/>
          <w:szCs w:val="24"/>
        </w:rPr>
        <w:t xml:space="preserve">test was significant, </w:t>
      </w:r>
      <w:proofErr w:type="gramStart"/>
      <w:r w:rsidRPr="00286357">
        <w:rPr>
          <w:rFonts w:cs="Times New Roman"/>
          <w:i/>
          <w:iCs/>
          <w:szCs w:val="24"/>
        </w:rPr>
        <w:t>t</w:t>
      </w:r>
      <w:r>
        <w:rPr>
          <w:rFonts w:cs="Times New Roman"/>
          <w:szCs w:val="24"/>
        </w:rPr>
        <w:t>(</w:t>
      </w:r>
      <w:proofErr w:type="gramEnd"/>
      <w:r>
        <w:rPr>
          <w:rFonts w:cs="Times New Roman"/>
          <w:szCs w:val="24"/>
        </w:rPr>
        <w:t xml:space="preserve">2076) = </w:t>
      </w:r>
      <w:r w:rsidR="00224740">
        <w:rPr>
          <w:rFonts w:cs="Times New Roman"/>
          <w:szCs w:val="24"/>
        </w:rPr>
        <w:t>15</w:t>
      </w:r>
      <w:r>
        <w:rPr>
          <w:rFonts w:cs="Times New Roman"/>
          <w:szCs w:val="24"/>
        </w:rPr>
        <w:t>.</w:t>
      </w:r>
      <w:r w:rsidR="00224740">
        <w:rPr>
          <w:rFonts w:cs="Times New Roman"/>
          <w:szCs w:val="24"/>
        </w:rPr>
        <w:t>5</w:t>
      </w:r>
      <w:r w:rsidR="00C3111F">
        <w:rPr>
          <w:rFonts w:cs="Times New Roman"/>
          <w:szCs w:val="24"/>
        </w:rPr>
        <w:t>8</w:t>
      </w:r>
      <w:r>
        <w:rPr>
          <w:rFonts w:cs="Times New Roman"/>
          <w:szCs w:val="24"/>
        </w:rPr>
        <w:t xml:space="preserve">, p </w:t>
      </w:r>
      <w:r w:rsidRPr="00E52AAD">
        <w:rPr>
          <w:rFonts w:cs="Times New Roman"/>
          <w:szCs w:val="24"/>
        </w:rPr>
        <w:t xml:space="preserve">&lt; </w:t>
      </w:r>
      <w:r>
        <w:rPr>
          <w:rFonts w:cs="Times New Roman"/>
          <w:szCs w:val="24"/>
        </w:rPr>
        <w:t xml:space="preserve">.001. </w:t>
      </w:r>
      <w:r>
        <w:rPr>
          <w:rFonts w:cs="Times New Roman"/>
          <w:color w:val="000000" w:themeColor="text1"/>
          <w:spacing w:val="3"/>
          <w:szCs w:val="24"/>
        </w:rPr>
        <w:t xml:space="preserve">The null hypothesis </w:t>
      </w:r>
      <w:r w:rsidRPr="00E531E9">
        <w:rPr>
          <w:rFonts w:cs="Times New Roman"/>
          <w:color w:val="000000" w:themeColor="text1"/>
          <w:szCs w:val="24"/>
        </w:rPr>
        <w:t>H</w:t>
      </w:r>
      <w:r w:rsidRPr="00E531E9">
        <w:rPr>
          <w:rFonts w:cs="Times New Roman"/>
          <w:color w:val="000000" w:themeColor="text1"/>
          <w:szCs w:val="24"/>
          <w:vertAlign w:val="subscript"/>
        </w:rPr>
        <w:t>o</w:t>
      </w:r>
      <w:r w:rsidR="00224740">
        <w:rPr>
          <w:rFonts w:cs="Times New Roman"/>
          <w:color w:val="000000" w:themeColor="text1"/>
          <w:szCs w:val="24"/>
        </w:rPr>
        <w:t>7</w:t>
      </w:r>
      <w:r>
        <w:rPr>
          <w:rFonts w:cs="Times New Roman"/>
          <w:color w:val="000000" w:themeColor="text1"/>
          <w:szCs w:val="24"/>
        </w:rPr>
        <w:t xml:space="preserve"> </w:t>
      </w:r>
      <w:r>
        <w:rPr>
          <w:rFonts w:cs="Times New Roman"/>
          <w:color w:val="000000" w:themeColor="text1"/>
          <w:spacing w:val="3"/>
          <w:szCs w:val="24"/>
        </w:rPr>
        <w:t xml:space="preserve">was rejected. In general, students in the dual enrollment group had a significantly higher </w:t>
      </w:r>
      <w:bookmarkStart w:id="94" w:name="_Hlk221217375"/>
      <w:r w:rsidR="00224740">
        <w:rPr>
          <w:rFonts w:cs="Times New Roman"/>
          <w:color w:val="000000" w:themeColor="text1"/>
          <w:spacing w:val="3"/>
          <w:szCs w:val="24"/>
        </w:rPr>
        <w:t>number of academic credits earned</w:t>
      </w:r>
      <w:r>
        <w:rPr>
          <w:rFonts w:cs="Times New Roman"/>
          <w:color w:val="000000" w:themeColor="text1"/>
          <w:spacing w:val="3"/>
          <w:szCs w:val="24"/>
        </w:rPr>
        <w:t xml:space="preserve"> at the end of year one </w:t>
      </w:r>
      <w:bookmarkEnd w:id="94"/>
      <w:r>
        <w:rPr>
          <w:rFonts w:cs="Times New Roman"/>
          <w:color w:val="000000" w:themeColor="text1"/>
          <w:spacing w:val="3"/>
          <w:szCs w:val="24"/>
        </w:rPr>
        <w:t>(M = 3</w:t>
      </w:r>
      <w:r w:rsidR="00224740">
        <w:rPr>
          <w:rFonts w:cs="Times New Roman"/>
          <w:color w:val="000000" w:themeColor="text1"/>
          <w:spacing w:val="3"/>
          <w:szCs w:val="24"/>
        </w:rPr>
        <w:t>6</w:t>
      </w:r>
      <w:r>
        <w:rPr>
          <w:rFonts w:cs="Times New Roman"/>
          <w:color w:val="000000" w:themeColor="text1"/>
          <w:spacing w:val="3"/>
          <w:szCs w:val="24"/>
        </w:rPr>
        <w:t>.</w:t>
      </w:r>
      <w:r w:rsidR="00224740">
        <w:rPr>
          <w:rFonts w:cs="Times New Roman"/>
          <w:color w:val="000000" w:themeColor="text1"/>
          <w:spacing w:val="3"/>
          <w:szCs w:val="24"/>
        </w:rPr>
        <w:t>1</w:t>
      </w:r>
      <w:r>
        <w:rPr>
          <w:rFonts w:cs="Times New Roman"/>
          <w:color w:val="000000" w:themeColor="text1"/>
          <w:spacing w:val="3"/>
          <w:szCs w:val="24"/>
        </w:rPr>
        <w:t xml:space="preserve">2, SD = </w:t>
      </w:r>
      <w:r w:rsidR="00224740">
        <w:rPr>
          <w:rFonts w:cs="Times New Roman"/>
          <w:color w:val="000000" w:themeColor="text1"/>
          <w:spacing w:val="3"/>
          <w:szCs w:val="24"/>
        </w:rPr>
        <w:t>13</w:t>
      </w:r>
      <w:r>
        <w:rPr>
          <w:rFonts w:cs="Times New Roman"/>
          <w:color w:val="000000" w:themeColor="text1"/>
          <w:spacing w:val="3"/>
          <w:szCs w:val="24"/>
        </w:rPr>
        <w:t>.</w:t>
      </w:r>
      <w:r w:rsidR="00224740">
        <w:rPr>
          <w:rFonts w:cs="Times New Roman"/>
          <w:color w:val="000000" w:themeColor="text1"/>
          <w:spacing w:val="3"/>
          <w:szCs w:val="24"/>
        </w:rPr>
        <w:t>08</w:t>
      </w:r>
      <w:r>
        <w:rPr>
          <w:rFonts w:cs="Times New Roman"/>
          <w:color w:val="000000" w:themeColor="text1"/>
          <w:spacing w:val="3"/>
          <w:szCs w:val="24"/>
        </w:rPr>
        <w:t xml:space="preserve">) than the non-dual enrollment </w:t>
      </w:r>
      <w:r w:rsidR="00224740">
        <w:rPr>
          <w:rFonts w:cs="Times New Roman"/>
          <w:color w:val="000000" w:themeColor="text1"/>
          <w:spacing w:val="3"/>
          <w:szCs w:val="24"/>
        </w:rPr>
        <w:t>students’</w:t>
      </w:r>
      <w:r>
        <w:rPr>
          <w:rFonts w:cs="Times New Roman"/>
          <w:color w:val="000000" w:themeColor="text1"/>
          <w:spacing w:val="3"/>
          <w:szCs w:val="24"/>
        </w:rPr>
        <w:t xml:space="preserve"> </w:t>
      </w:r>
      <w:r w:rsidR="00224740">
        <w:rPr>
          <w:rFonts w:cs="Times New Roman"/>
          <w:color w:val="000000" w:themeColor="text1"/>
          <w:spacing w:val="3"/>
          <w:szCs w:val="24"/>
        </w:rPr>
        <w:t xml:space="preserve">number of academic credits earned at the end of year one </w:t>
      </w:r>
      <w:r>
        <w:rPr>
          <w:rFonts w:cs="Times New Roman"/>
          <w:color w:val="000000" w:themeColor="text1"/>
          <w:spacing w:val="3"/>
          <w:szCs w:val="24"/>
        </w:rPr>
        <w:t xml:space="preserve">(M = </w:t>
      </w:r>
      <w:r w:rsidR="00224740">
        <w:rPr>
          <w:rFonts w:cs="Times New Roman"/>
          <w:color w:val="000000" w:themeColor="text1"/>
          <w:spacing w:val="3"/>
          <w:szCs w:val="24"/>
        </w:rPr>
        <w:t>27.14</w:t>
      </w:r>
      <w:r>
        <w:rPr>
          <w:rFonts w:cs="Times New Roman"/>
          <w:color w:val="000000" w:themeColor="text1"/>
          <w:spacing w:val="3"/>
          <w:szCs w:val="24"/>
        </w:rPr>
        <w:t xml:space="preserve">, SD </w:t>
      </w:r>
      <w:r w:rsidR="00224740">
        <w:rPr>
          <w:rFonts w:cs="Times New Roman"/>
          <w:color w:val="000000" w:themeColor="text1"/>
          <w:spacing w:val="3"/>
          <w:szCs w:val="24"/>
        </w:rPr>
        <w:t>13.0</w:t>
      </w:r>
      <w:r w:rsidR="00AB4553">
        <w:rPr>
          <w:rFonts w:cs="Times New Roman"/>
          <w:color w:val="000000" w:themeColor="text1"/>
          <w:spacing w:val="3"/>
          <w:szCs w:val="24"/>
        </w:rPr>
        <w:t>4</w:t>
      </w:r>
      <w:r>
        <w:rPr>
          <w:rFonts w:cs="Times New Roman"/>
          <w:color w:val="000000" w:themeColor="text1"/>
          <w:spacing w:val="3"/>
          <w:szCs w:val="24"/>
        </w:rPr>
        <w:t xml:space="preserve">). The 95% </w:t>
      </w:r>
      <w:r w:rsidRPr="00D565AC">
        <w:rPr>
          <w:rFonts w:cs="Times New Roman"/>
          <w:color w:val="000000" w:themeColor="text1"/>
          <w:spacing w:val="3"/>
          <w:szCs w:val="24"/>
        </w:rPr>
        <w:t>confidence level was .</w:t>
      </w:r>
      <w:r w:rsidR="00224740" w:rsidRPr="00D565AC">
        <w:rPr>
          <w:rFonts w:cs="Times New Roman"/>
          <w:color w:val="000000" w:themeColor="text1"/>
          <w:spacing w:val="3"/>
          <w:szCs w:val="24"/>
        </w:rPr>
        <w:t>7</w:t>
      </w:r>
      <w:r w:rsidR="00F17209" w:rsidRPr="00D565AC">
        <w:rPr>
          <w:rFonts w:cs="Times New Roman"/>
          <w:color w:val="000000" w:themeColor="text1"/>
          <w:spacing w:val="3"/>
          <w:szCs w:val="24"/>
        </w:rPr>
        <w:t>8</w:t>
      </w:r>
      <w:r w:rsidRPr="00D565AC">
        <w:rPr>
          <w:rFonts w:cs="Times New Roman"/>
          <w:color w:val="000000" w:themeColor="text1"/>
          <w:spacing w:val="3"/>
          <w:szCs w:val="24"/>
        </w:rPr>
        <w:t xml:space="preserve"> to .</w:t>
      </w:r>
      <w:r w:rsidR="00AB357D" w:rsidRPr="00D565AC">
        <w:rPr>
          <w:rFonts w:cs="Times New Roman"/>
          <w:color w:val="000000" w:themeColor="text1"/>
          <w:spacing w:val="3"/>
          <w:szCs w:val="24"/>
        </w:rPr>
        <w:t>60</w:t>
      </w:r>
      <w:r w:rsidRPr="00D565AC">
        <w:rPr>
          <w:rFonts w:cs="Times New Roman"/>
          <w:color w:val="000000" w:themeColor="text1"/>
          <w:spacing w:val="3"/>
          <w:szCs w:val="24"/>
        </w:rPr>
        <w:t>. The</w:t>
      </w:r>
      <w:r>
        <w:rPr>
          <w:rFonts w:cs="Times New Roman"/>
          <w:color w:val="000000" w:themeColor="text1"/>
          <w:spacing w:val="3"/>
          <w:szCs w:val="24"/>
        </w:rPr>
        <w:t xml:space="preserve"> Cohen’s </w:t>
      </w:r>
      <w:r w:rsidRPr="00405E1A">
        <w:rPr>
          <w:rFonts w:cs="Times New Roman"/>
          <w:i/>
          <w:iCs/>
          <w:color w:val="000000" w:themeColor="text1"/>
          <w:spacing w:val="3"/>
          <w:szCs w:val="24"/>
        </w:rPr>
        <w:t>d</w:t>
      </w:r>
      <w:r>
        <w:rPr>
          <w:rFonts w:cs="Times New Roman"/>
          <w:i/>
          <w:iCs/>
          <w:color w:val="000000" w:themeColor="text1"/>
          <w:spacing w:val="3"/>
          <w:szCs w:val="24"/>
        </w:rPr>
        <w:t xml:space="preserve"> </w:t>
      </w:r>
      <w:r w:rsidRPr="00405E1A">
        <w:rPr>
          <w:rFonts w:cs="Times New Roman"/>
          <w:color w:val="000000" w:themeColor="text1"/>
          <w:spacing w:val="3"/>
          <w:szCs w:val="24"/>
        </w:rPr>
        <w:t>index was</w:t>
      </w:r>
      <w:r>
        <w:rPr>
          <w:rFonts w:cs="Times New Roman"/>
          <w:i/>
          <w:iCs/>
          <w:color w:val="000000" w:themeColor="text1"/>
          <w:spacing w:val="3"/>
          <w:szCs w:val="24"/>
        </w:rPr>
        <w:t xml:space="preserve"> </w:t>
      </w:r>
      <w:r w:rsidR="00FF4433">
        <w:rPr>
          <w:rFonts w:cs="Times New Roman"/>
          <w:color w:val="000000" w:themeColor="text1"/>
          <w:spacing w:val="3"/>
          <w:szCs w:val="24"/>
        </w:rPr>
        <w:t>.6</w:t>
      </w:r>
      <w:r w:rsidR="00AF79AD">
        <w:rPr>
          <w:rFonts w:cs="Times New Roman"/>
          <w:color w:val="000000" w:themeColor="text1"/>
          <w:spacing w:val="3"/>
          <w:szCs w:val="24"/>
        </w:rPr>
        <w:t>9</w:t>
      </w:r>
      <w:r>
        <w:rPr>
          <w:rFonts w:cs="Times New Roman"/>
          <w:color w:val="000000" w:themeColor="text1"/>
          <w:spacing w:val="3"/>
          <w:szCs w:val="24"/>
        </w:rPr>
        <w:t xml:space="preserve"> which indicated a </w:t>
      </w:r>
      <w:r w:rsidR="00FF4433">
        <w:rPr>
          <w:rFonts w:cs="Times New Roman"/>
          <w:color w:val="000000" w:themeColor="text1"/>
          <w:spacing w:val="3"/>
          <w:szCs w:val="24"/>
        </w:rPr>
        <w:t>moderate</w:t>
      </w:r>
      <w:r>
        <w:rPr>
          <w:rFonts w:cs="Times New Roman"/>
          <w:color w:val="000000" w:themeColor="text1"/>
          <w:spacing w:val="3"/>
          <w:szCs w:val="24"/>
        </w:rPr>
        <w:t xml:space="preserve"> effect size. </w:t>
      </w:r>
      <w:r w:rsidR="00877202">
        <w:rPr>
          <w:rFonts w:cs="Times New Roman"/>
          <w:szCs w:val="24"/>
        </w:rPr>
        <w:t>See Figure 7 and Table 4 for visual representation of this finding.</w:t>
      </w:r>
    </w:p>
    <w:p w14:paraId="2C264B15" w14:textId="541B3926" w:rsidR="004F189D" w:rsidRDefault="004F189D" w:rsidP="00480E63">
      <w:pPr>
        <w:spacing w:after="160"/>
        <w:ind w:firstLine="720"/>
        <w:rPr>
          <w:rFonts w:cs="Times New Roman"/>
          <w:szCs w:val="24"/>
        </w:rPr>
      </w:pPr>
    </w:p>
    <w:p w14:paraId="7640F58B" w14:textId="6FD40A62" w:rsidR="004F189D" w:rsidRDefault="004F189D" w:rsidP="00822D6C">
      <w:pPr>
        <w:spacing w:after="160"/>
        <w:rPr>
          <w:rFonts w:cs="Times New Roman"/>
          <w:szCs w:val="24"/>
        </w:rPr>
      </w:pPr>
    </w:p>
    <w:p w14:paraId="349F45E4" w14:textId="77777777" w:rsidR="00EA4864" w:rsidRPr="004064EF" w:rsidRDefault="00EA4864" w:rsidP="00822D6C">
      <w:pPr>
        <w:spacing w:after="160"/>
        <w:rPr>
          <w:rFonts w:cs="Times New Roman"/>
          <w:szCs w:val="24"/>
        </w:rPr>
      </w:pPr>
    </w:p>
    <w:p w14:paraId="456B3351" w14:textId="4C8555CC" w:rsidR="00DF4B2E" w:rsidRPr="00C534AC" w:rsidRDefault="00DF4B2E" w:rsidP="00C534AC">
      <w:pPr>
        <w:rPr>
          <w:b/>
          <w:bCs/>
        </w:rPr>
      </w:pPr>
      <w:r w:rsidRPr="00C534AC">
        <w:rPr>
          <w:b/>
          <w:bCs/>
        </w:rPr>
        <w:lastRenderedPageBreak/>
        <w:t xml:space="preserve">Figure </w:t>
      </w:r>
      <w:r w:rsidR="000232E0" w:rsidRPr="00C534AC">
        <w:rPr>
          <w:b/>
          <w:bCs/>
        </w:rPr>
        <w:t>7</w:t>
      </w:r>
    </w:p>
    <w:p w14:paraId="59920BBC" w14:textId="77777777" w:rsidR="001D19F0" w:rsidRPr="003E4471" w:rsidRDefault="001D19F0" w:rsidP="001D19F0">
      <w:pPr>
        <w:rPr>
          <w:i/>
          <w:iCs/>
        </w:rPr>
      </w:pPr>
      <w:r w:rsidRPr="006D3277">
        <w:rPr>
          <w:rFonts w:cs="Times New Roman"/>
          <w:i/>
          <w:iCs/>
        </w:rPr>
        <w:t>Academic Credits Earned at the End of Freshman Year by Dual Enrollment Status</w:t>
      </w:r>
    </w:p>
    <w:p w14:paraId="414E3203" w14:textId="3FF354E9" w:rsidR="00877202" w:rsidRDefault="00877202" w:rsidP="00877202"/>
    <w:p w14:paraId="0BBF3989" w14:textId="18CDD84B" w:rsidR="009B18D0" w:rsidRDefault="009B18D0" w:rsidP="009B18D0">
      <w:pPr>
        <w:autoSpaceDE w:val="0"/>
        <w:autoSpaceDN w:val="0"/>
        <w:adjustRightInd w:val="0"/>
        <w:spacing w:line="240" w:lineRule="auto"/>
        <w:rPr>
          <w:rFonts w:cs="Times New Roman"/>
          <w:szCs w:val="24"/>
        </w:rPr>
      </w:pPr>
      <w:r>
        <w:rPr>
          <w:rFonts w:cs="Times New Roman"/>
          <w:noProof/>
          <w:szCs w:val="24"/>
        </w:rPr>
        <w:drawing>
          <wp:inline distT="0" distB="0" distL="0" distR="0" wp14:anchorId="625CDB91" wp14:editId="105E9AAB">
            <wp:extent cx="5943600" cy="34963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2BEF6653" w14:textId="497050ED" w:rsidR="009B18D0" w:rsidRDefault="009B18D0" w:rsidP="009B18D0">
      <w:pPr>
        <w:autoSpaceDE w:val="0"/>
        <w:autoSpaceDN w:val="0"/>
        <w:adjustRightInd w:val="0"/>
        <w:spacing w:line="240" w:lineRule="auto"/>
        <w:rPr>
          <w:rFonts w:cs="Times New Roman"/>
          <w:szCs w:val="24"/>
        </w:rPr>
      </w:pPr>
    </w:p>
    <w:p w14:paraId="4DD69252" w14:textId="305F2955" w:rsidR="004F189D" w:rsidRPr="00D64812" w:rsidRDefault="004F189D" w:rsidP="004F189D">
      <w:pPr>
        <w:rPr>
          <w:rFonts w:cs="Times New Roman"/>
          <w:color w:val="FFFFFF" w:themeColor="background1"/>
          <w:szCs w:val="24"/>
        </w:rPr>
      </w:pPr>
      <w:bookmarkStart w:id="95" w:name="_Toc224458942"/>
      <w:r w:rsidRPr="00D64812">
        <w:rPr>
          <w:color w:val="FFFFFF" w:themeColor="background1"/>
        </w:rPr>
        <w:t xml:space="preserve">Figure </w:t>
      </w:r>
      <w:r w:rsidRPr="00D64812">
        <w:rPr>
          <w:color w:val="FFFFFF" w:themeColor="background1"/>
        </w:rPr>
        <w:fldChar w:fldCharType="begin"/>
      </w:r>
      <w:r w:rsidRPr="00D64812">
        <w:rPr>
          <w:color w:val="FFFFFF" w:themeColor="background1"/>
        </w:rPr>
        <w:instrText xml:space="preserve"> SEQ Figure \* ARABIC </w:instrText>
      </w:r>
      <w:r w:rsidRPr="00D64812">
        <w:rPr>
          <w:color w:val="FFFFFF" w:themeColor="background1"/>
        </w:rPr>
        <w:fldChar w:fldCharType="separate"/>
      </w:r>
      <w:r w:rsidR="00B4126D">
        <w:rPr>
          <w:noProof/>
          <w:color w:val="FFFFFF" w:themeColor="background1"/>
        </w:rPr>
        <w:t>7</w:t>
      </w:r>
      <w:r w:rsidRPr="00D64812">
        <w:rPr>
          <w:color w:val="FFFFFF" w:themeColor="background1"/>
        </w:rPr>
        <w:fldChar w:fldCharType="end"/>
      </w:r>
      <w:r w:rsidRPr="00D64812">
        <w:rPr>
          <w:color w:val="FFFFFF" w:themeColor="background1"/>
        </w:rPr>
        <w:t>. Academic Credits Earned at the End of Freshman Year by Dual Enrollment Status</w:t>
      </w:r>
      <w:bookmarkEnd w:id="95"/>
    </w:p>
    <w:p w14:paraId="772FBC5B" w14:textId="44037684" w:rsidR="003E4471" w:rsidRPr="00C534AC" w:rsidRDefault="00877202" w:rsidP="00C534AC">
      <w:pPr>
        <w:rPr>
          <w:b/>
          <w:bCs/>
        </w:rPr>
      </w:pPr>
      <w:r w:rsidRPr="00C534AC">
        <w:rPr>
          <w:b/>
          <w:bCs/>
        </w:rPr>
        <w:t xml:space="preserve">Table </w:t>
      </w:r>
      <w:r w:rsidR="00A61F36" w:rsidRPr="00C534AC">
        <w:rPr>
          <w:b/>
          <w:bCs/>
        </w:rPr>
        <w:t>8</w:t>
      </w:r>
    </w:p>
    <w:p w14:paraId="32D8E237" w14:textId="3723C05A" w:rsidR="00DF4B2E" w:rsidRPr="00AA19DC" w:rsidRDefault="003E4471" w:rsidP="00AA19DC">
      <w:pPr>
        <w:rPr>
          <w:i/>
          <w:iCs/>
        </w:rPr>
      </w:pPr>
      <w:r>
        <w:rPr>
          <w:rFonts w:cs="Times New Roman"/>
          <w:i/>
          <w:iCs/>
        </w:rPr>
        <w:t>A</w:t>
      </w:r>
      <w:r w:rsidRPr="003E4471">
        <w:rPr>
          <w:rFonts w:cs="Times New Roman"/>
          <w:i/>
          <w:iCs/>
        </w:rPr>
        <w:t xml:space="preserve">cademic </w:t>
      </w:r>
      <w:r>
        <w:rPr>
          <w:rFonts w:cs="Times New Roman"/>
          <w:i/>
          <w:iCs/>
        </w:rPr>
        <w:t>C</w:t>
      </w:r>
      <w:r w:rsidRPr="003E4471">
        <w:rPr>
          <w:rFonts w:cs="Times New Roman"/>
          <w:i/>
          <w:iCs/>
        </w:rPr>
        <w:t xml:space="preserve">redits </w:t>
      </w:r>
      <w:r>
        <w:rPr>
          <w:rFonts w:cs="Times New Roman"/>
          <w:i/>
          <w:iCs/>
        </w:rPr>
        <w:t>E</w:t>
      </w:r>
      <w:r w:rsidRPr="003E4471">
        <w:rPr>
          <w:rFonts w:cs="Times New Roman"/>
          <w:i/>
          <w:iCs/>
        </w:rPr>
        <w:t xml:space="preserve">arned at the </w:t>
      </w:r>
      <w:r>
        <w:rPr>
          <w:rFonts w:cs="Times New Roman"/>
          <w:i/>
          <w:iCs/>
        </w:rPr>
        <w:t>E</w:t>
      </w:r>
      <w:r w:rsidRPr="003E4471">
        <w:rPr>
          <w:rFonts w:cs="Times New Roman"/>
          <w:i/>
          <w:iCs/>
        </w:rPr>
        <w:t>nd of</w:t>
      </w:r>
      <w:r>
        <w:rPr>
          <w:rFonts w:cs="Times New Roman"/>
          <w:i/>
          <w:iCs/>
        </w:rPr>
        <w:t xml:space="preserve"> F</w:t>
      </w:r>
      <w:r w:rsidRPr="003E4471">
        <w:rPr>
          <w:rFonts w:cs="Times New Roman"/>
          <w:i/>
          <w:iCs/>
        </w:rPr>
        <w:t>reshman</w:t>
      </w:r>
      <w:r>
        <w:rPr>
          <w:rFonts w:cs="Times New Roman"/>
          <w:i/>
          <w:iCs/>
        </w:rPr>
        <w:t xml:space="preserve"> Year</w:t>
      </w:r>
      <w:r w:rsidR="001D19F0">
        <w:rPr>
          <w:rFonts w:cs="Times New Roman"/>
          <w:i/>
          <w:iCs/>
        </w:rPr>
        <w:t xml:space="preserve"> by Dual Enrollment Status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0"/>
        <w:gridCol w:w="1870"/>
        <w:gridCol w:w="1870"/>
        <w:gridCol w:w="1870"/>
      </w:tblGrid>
      <w:tr w:rsidR="004026C5" w14:paraId="547D2514" w14:textId="77777777" w:rsidTr="004026C5">
        <w:tc>
          <w:tcPr>
            <w:tcW w:w="3740" w:type="dxa"/>
            <w:tcBorders>
              <w:top w:val="single" w:sz="4" w:space="0" w:color="auto"/>
              <w:bottom w:val="single" w:sz="4" w:space="0" w:color="auto"/>
            </w:tcBorders>
          </w:tcPr>
          <w:p w14:paraId="619B47E9" w14:textId="77777777" w:rsidR="004026C5" w:rsidRDefault="004026C5" w:rsidP="004026C5">
            <w:pPr>
              <w:spacing w:after="160" w:line="276" w:lineRule="auto"/>
              <w:rPr>
                <w:rFonts w:cs="Times New Roman"/>
                <w:color w:val="000000" w:themeColor="text1"/>
                <w:spacing w:val="3"/>
                <w:szCs w:val="24"/>
              </w:rPr>
            </w:pPr>
          </w:p>
        </w:tc>
        <w:tc>
          <w:tcPr>
            <w:tcW w:w="1870" w:type="dxa"/>
            <w:tcBorders>
              <w:top w:val="single" w:sz="4" w:space="0" w:color="auto"/>
              <w:bottom w:val="single" w:sz="4" w:space="0" w:color="auto"/>
            </w:tcBorders>
          </w:tcPr>
          <w:p w14:paraId="1D22B181" w14:textId="4062E262" w:rsidR="004026C5" w:rsidRDefault="004026C5" w:rsidP="004026C5">
            <w:pPr>
              <w:spacing w:after="160" w:line="276" w:lineRule="auto"/>
              <w:jc w:val="center"/>
              <w:rPr>
                <w:rFonts w:cs="Times New Roman"/>
                <w:color w:val="000000" w:themeColor="text1"/>
                <w:spacing w:val="3"/>
                <w:szCs w:val="24"/>
              </w:rPr>
            </w:pPr>
            <w:r>
              <w:rPr>
                <w:rFonts w:cs="Times New Roman"/>
                <w:color w:val="000000" w:themeColor="text1"/>
                <w:spacing w:val="3"/>
                <w:szCs w:val="24"/>
              </w:rPr>
              <w:t>N</w:t>
            </w:r>
          </w:p>
        </w:tc>
        <w:tc>
          <w:tcPr>
            <w:tcW w:w="1870" w:type="dxa"/>
            <w:tcBorders>
              <w:top w:val="single" w:sz="4" w:space="0" w:color="auto"/>
              <w:bottom w:val="single" w:sz="4" w:space="0" w:color="auto"/>
            </w:tcBorders>
          </w:tcPr>
          <w:p w14:paraId="57005F01" w14:textId="2C93A158" w:rsidR="004026C5" w:rsidRDefault="004026C5" w:rsidP="004026C5">
            <w:pPr>
              <w:spacing w:after="160" w:line="276" w:lineRule="auto"/>
              <w:jc w:val="center"/>
              <w:rPr>
                <w:rFonts w:cs="Times New Roman"/>
                <w:color w:val="000000" w:themeColor="text1"/>
                <w:spacing w:val="3"/>
                <w:szCs w:val="24"/>
              </w:rPr>
            </w:pPr>
            <w:r>
              <w:rPr>
                <w:rFonts w:cs="Times New Roman"/>
                <w:color w:val="000000" w:themeColor="text1"/>
                <w:spacing w:val="3"/>
                <w:szCs w:val="24"/>
              </w:rPr>
              <w:t>M</w:t>
            </w:r>
          </w:p>
        </w:tc>
        <w:tc>
          <w:tcPr>
            <w:tcW w:w="1870" w:type="dxa"/>
            <w:tcBorders>
              <w:top w:val="single" w:sz="4" w:space="0" w:color="auto"/>
              <w:bottom w:val="single" w:sz="4" w:space="0" w:color="auto"/>
            </w:tcBorders>
          </w:tcPr>
          <w:p w14:paraId="44498B98" w14:textId="6C05B8A8" w:rsidR="004026C5" w:rsidRDefault="004026C5" w:rsidP="004026C5">
            <w:pPr>
              <w:spacing w:after="160" w:line="276" w:lineRule="auto"/>
              <w:jc w:val="center"/>
              <w:rPr>
                <w:rFonts w:cs="Times New Roman"/>
                <w:color w:val="000000" w:themeColor="text1"/>
                <w:spacing w:val="3"/>
                <w:szCs w:val="24"/>
              </w:rPr>
            </w:pPr>
            <w:r>
              <w:rPr>
                <w:rFonts w:cs="Times New Roman"/>
                <w:color w:val="000000" w:themeColor="text1"/>
                <w:spacing w:val="3"/>
                <w:szCs w:val="24"/>
              </w:rPr>
              <w:t>SD</w:t>
            </w:r>
          </w:p>
        </w:tc>
      </w:tr>
      <w:tr w:rsidR="004026C5" w14:paraId="6850A40F" w14:textId="77777777" w:rsidTr="004026C5">
        <w:tc>
          <w:tcPr>
            <w:tcW w:w="3740" w:type="dxa"/>
            <w:tcBorders>
              <w:top w:val="single" w:sz="4" w:space="0" w:color="auto"/>
            </w:tcBorders>
          </w:tcPr>
          <w:p w14:paraId="1F5C8254" w14:textId="44E16C85" w:rsidR="004026C5" w:rsidRDefault="004026C5" w:rsidP="004026C5">
            <w:pPr>
              <w:spacing w:after="160" w:line="276" w:lineRule="auto"/>
              <w:rPr>
                <w:rFonts w:cs="Times New Roman"/>
                <w:color w:val="000000" w:themeColor="text1"/>
                <w:spacing w:val="3"/>
                <w:szCs w:val="24"/>
              </w:rPr>
            </w:pPr>
            <w:r>
              <w:rPr>
                <w:rFonts w:cs="Times New Roman"/>
                <w:color w:val="000000" w:themeColor="text1"/>
                <w:spacing w:val="3"/>
                <w:szCs w:val="24"/>
              </w:rPr>
              <w:t>Non-Dual Enrollment</w:t>
            </w:r>
          </w:p>
        </w:tc>
        <w:tc>
          <w:tcPr>
            <w:tcW w:w="1870" w:type="dxa"/>
            <w:tcBorders>
              <w:top w:val="single" w:sz="4" w:space="0" w:color="auto"/>
            </w:tcBorders>
          </w:tcPr>
          <w:p w14:paraId="3B00917B" w14:textId="7A79CA1A" w:rsidR="004026C5" w:rsidRDefault="004026C5" w:rsidP="004026C5">
            <w:pPr>
              <w:tabs>
                <w:tab w:val="decimal" w:pos="1105"/>
              </w:tabs>
              <w:spacing w:after="160" w:line="276" w:lineRule="auto"/>
              <w:jc w:val="both"/>
              <w:rPr>
                <w:rFonts w:cs="Times New Roman"/>
                <w:color w:val="000000" w:themeColor="text1"/>
                <w:spacing w:val="3"/>
                <w:szCs w:val="24"/>
              </w:rPr>
            </w:pPr>
            <w:r>
              <w:rPr>
                <w:rFonts w:cs="Times New Roman"/>
                <w:color w:val="000000" w:themeColor="text1"/>
                <w:spacing w:val="3"/>
                <w:szCs w:val="24"/>
              </w:rPr>
              <w:t>1162</w:t>
            </w:r>
          </w:p>
        </w:tc>
        <w:tc>
          <w:tcPr>
            <w:tcW w:w="1870" w:type="dxa"/>
            <w:tcBorders>
              <w:top w:val="single" w:sz="4" w:space="0" w:color="auto"/>
            </w:tcBorders>
          </w:tcPr>
          <w:p w14:paraId="1FD9E1AB" w14:textId="1E12708A" w:rsidR="004026C5" w:rsidRDefault="004026C5" w:rsidP="004026C5">
            <w:pPr>
              <w:tabs>
                <w:tab w:val="decimal" w:pos="762"/>
              </w:tabs>
              <w:spacing w:after="160" w:line="276" w:lineRule="auto"/>
              <w:jc w:val="both"/>
              <w:rPr>
                <w:rFonts w:cs="Times New Roman"/>
                <w:color w:val="000000" w:themeColor="text1"/>
                <w:spacing w:val="3"/>
                <w:szCs w:val="24"/>
              </w:rPr>
            </w:pPr>
            <w:r>
              <w:rPr>
                <w:rFonts w:cs="Times New Roman"/>
                <w:color w:val="000000" w:themeColor="text1"/>
                <w:spacing w:val="3"/>
                <w:szCs w:val="24"/>
              </w:rPr>
              <w:t>27.14</w:t>
            </w:r>
          </w:p>
        </w:tc>
        <w:tc>
          <w:tcPr>
            <w:tcW w:w="1870" w:type="dxa"/>
            <w:tcBorders>
              <w:top w:val="single" w:sz="4" w:space="0" w:color="auto"/>
            </w:tcBorders>
          </w:tcPr>
          <w:p w14:paraId="04B329A0" w14:textId="2743B71D" w:rsidR="004026C5" w:rsidRDefault="004026C5" w:rsidP="004026C5">
            <w:pPr>
              <w:tabs>
                <w:tab w:val="decimal" w:pos="779"/>
              </w:tabs>
              <w:spacing w:after="160" w:line="276" w:lineRule="auto"/>
              <w:jc w:val="both"/>
              <w:rPr>
                <w:rFonts w:cs="Times New Roman"/>
                <w:color w:val="000000" w:themeColor="text1"/>
                <w:spacing w:val="3"/>
                <w:szCs w:val="24"/>
              </w:rPr>
            </w:pPr>
            <w:r>
              <w:rPr>
                <w:rFonts w:cs="Times New Roman"/>
                <w:color w:val="000000" w:themeColor="text1"/>
                <w:spacing w:val="3"/>
                <w:szCs w:val="24"/>
              </w:rPr>
              <w:t>13.04</w:t>
            </w:r>
          </w:p>
        </w:tc>
      </w:tr>
      <w:tr w:rsidR="004026C5" w14:paraId="2F926792" w14:textId="77777777" w:rsidTr="004026C5">
        <w:tc>
          <w:tcPr>
            <w:tcW w:w="3740" w:type="dxa"/>
          </w:tcPr>
          <w:p w14:paraId="7A4FBA4F" w14:textId="6DD285C6" w:rsidR="004026C5" w:rsidRDefault="004026C5" w:rsidP="004026C5">
            <w:pPr>
              <w:spacing w:after="160" w:line="276" w:lineRule="auto"/>
              <w:rPr>
                <w:rFonts w:cs="Times New Roman"/>
                <w:color w:val="000000" w:themeColor="text1"/>
                <w:spacing w:val="3"/>
                <w:szCs w:val="24"/>
              </w:rPr>
            </w:pPr>
            <w:r>
              <w:rPr>
                <w:rFonts w:cs="Times New Roman"/>
                <w:color w:val="000000" w:themeColor="text1"/>
                <w:spacing w:val="3"/>
                <w:szCs w:val="24"/>
              </w:rPr>
              <w:t>Dual Enrollment</w:t>
            </w:r>
          </w:p>
        </w:tc>
        <w:tc>
          <w:tcPr>
            <w:tcW w:w="1870" w:type="dxa"/>
          </w:tcPr>
          <w:p w14:paraId="5FAB6800" w14:textId="796F3DAF" w:rsidR="004026C5" w:rsidRDefault="004026C5" w:rsidP="004026C5">
            <w:pPr>
              <w:tabs>
                <w:tab w:val="decimal" w:pos="1105"/>
              </w:tabs>
              <w:spacing w:after="160" w:line="276" w:lineRule="auto"/>
              <w:jc w:val="both"/>
              <w:rPr>
                <w:rFonts w:cs="Times New Roman"/>
                <w:color w:val="000000" w:themeColor="text1"/>
                <w:spacing w:val="3"/>
                <w:szCs w:val="24"/>
              </w:rPr>
            </w:pPr>
            <w:r>
              <w:rPr>
                <w:rFonts w:cs="Times New Roman"/>
                <w:color w:val="000000" w:themeColor="text1"/>
                <w:spacing w:val="3"/>
                <w:szCs w:val="24"/>
              </w:rPr>
              <w:t>916</w:t>
            </w:r>
          </w:p>
        </w:tc>
        <w:tc>
          <w:tcPr>
            <w:tcW w:w="1870" w:type="dxa"/>
          </w:tcPr>
          <w:p w14:paraId="4DC1B937" w14:textId="4C049E25" w:rsidR="004026C5" w:rsidRDefault="004026C5" w:rsidP="004026C5">
            <w:pPr>
              <w:tabs>
                <w:tab w:val="decimal" w:pos="762"/>
              </w:tabs>
              <w:spacing w:after="160" w:line="276" w:lineRule="auto"/>
              <w:jc w:val="both"/>
              <w:rPr>
                <w:rFonts w:cs="Times New Roman"/>
                <w:color w:val="000000" w:themeColor="text1"/>
                <w:spacing w:val="3"/>
                <w:szCs w:val="24"/>
              </w:rPr>
            </w:pPr>
            <w:r>
              <w:rPr>
                <w:rFonts w:cs="Times New Roman"/>
                <w:color w:val="000000" w:themeColor="text1"/>
                <w:spacing w:val="3"/>
                <w:szCs w:val="24"/>
              </w:rPr>
              <w:t>36.12</w:t>
            </w:r>
          </w:p>
        </w:tc>
        <w:tc>
          <w:tcPr>
            <w:tcW w:w="1870" w:type="dxa"/>
          </w:tcPr>
          <w:p w14:paraId="1BEB5E6E" w14:textId="062C5127" w:rsidR="004026C5" w:rsidRDefault="004026C5" w:rsidP="004026C5">
            <w:pPr>
              <w:tabs>
                <w:tab w:val="decimal" w:pos="779"/>
              </w:tabs>
              <w:spacing w:after="160" w:line="276" w:lineRule="auto"/>
              <w:jc w:val="both"/>
              <w:rPr>
                <w:rFonts w:cs="Times New Roman"/>
                <w:color w:val="000000" w:themeColor="text1"/>
                <w:spacing w:val="3"/>
                <w:szCs w:val="24"/>
              </w:rPr>
            </w:pPr>
            <w:r>
              <w:rPr>
                <w:rFonts w:cs="Times New Roman"/>
                <w:color w:val="000000" w:themeColor="text1"/>
                <w:spacing w:val="3"/>
                <w:szCs w:val="24"/>
              </w:rPr>
              <w:t>13.08</w:t>
            </w:r>
          </w:p>
        </w:tc>
      </w:tr>
    </w:tbl>
    <w:p w14:paraId="7CDA46D1" w14:textId="03225464" w:rsidR="00822D6C" w:rsidRPr="00822D6C" w:rsidRDefault="0032678F" w:rsidP="00822D6C">
      <w:pPr>
        <w:rPr>
          <w:color w:val="FFFFFF" w:themeColor="background1"/>
        </w:rPr>
      </w:pPr>
      <w:bookmarkStart w:id="96" w:name="_Toc224458935"/>
      <w:r w:rsidRPr="0032678F">
        <w:rPr>
          <w:color w:val="FFFFFF" w:themeColor="background1"/>
        </w:rPr>
        <w:t xml:space="preserve">Table </w:t>
      </w:r>
      <w:r w:rsidRPr="0032678F">
        <w:rPr>
          <w:color w:val="FFFFFF" w:themeColor="background1"/>
        </w:rPr>
        <w:fldChar w:fldCharType="begin"/>
      </w:r>
      <w:r w:rsidRPr="0032678F">
        <w:rPr>
          <w:color w:val="FFFFFF" w:themeColor="background1"/>
        </w:rPr>
        <w:instrText xml:space="preserve"> SEQ Table \* ARABIC </w:instrText>
      </w:r>
      <w:r w:rsidRPr="0032678F">
        <w:rPr>
          <w:color w:val="FFFFFF" w:themeColor="background1"/>
        </w:rPr>
        <w:fldChar w:fldCharType="separate"/>
      </w:r>
      <w:r w:rsidR="00B4126D">
        <w:rPr>
          <w:noProof/>
          <w:color w:val="FFFFFF" w:themeColor="background1"/>
        </w:rPr>
        <w:t>8</w:t>
      </w:r>
      <w:r w:rsidRPr="0032678F">
        <w:rPr>
          <w:color w:val="FFFFFF" w:themeColor="background1"/>
        </w:rPr>
        <w:fldChar w:fldCharType="end"/>
      </w:r>
      <w:r w:rsidRPr="0032678F">
        <w:rPr>
          <w:color w:val="FFFFFF" w:themeColor="background1"/>
        </w:rPr>
        <w:t>. Academic Credits Earned at the End of Freshman Year by Dual Enrollment Status</w:t>
      </w:r>
      <w:bookmarkStart w:id="97" w:name="_Hlk221889757"/>
      <w:bookmarkEnd w:id="96"/>
    </w:p>
    <w:p w14:paraId="772FF9CD" w14:textId="77777777" w:rsidR="00822D6C" w:rsidRDefault="00822D6C" w:rsidP="00822D6C"/>
    <w:p w14:paraId="544BF16B" w14:textId="73895933" w:rsidR="00EE10C8" w:rsidRDefault="00EE10C8" w:rsidP="00EE10C8">
      <w:pPr>
        <w:pStyle w:val="Heading3"/>
        <w:rPr>
          <w:rFonts w:cs="Times New Roman"/>
        </w:rPr>
      </w:pPr>
      <w:bookmarkStart w:id="98" w:name="_Toc224458917"/>
      <w:r>
        <w:rPr>
          <w:rFonts w:cs="Times New Roman"/>
        </w:rPr>
        <w:lastRenderedPageBreak/>
        <w:t>Chapter Summary</w:t>
      </w:r>
      <w:bookmarkEnd w:id="98"/>
    </w:p>
    <w:bookmarkEnd w:id="97"/>
    <w:p w14:paraId="2C27B820" w14:textId="0FE0BE77" w:rsidR="00743B44" w:rsidRPr="00743B44" w:rsidRDefault="00EE10C8" w:rsidP="00EE10C8">
      <w:pPr>
        <w:rPr>
          <w:rFonts w:cs="Times New Roman"/>
          <w:color w:val="000000" w:themeColor="text1"/>
          <w:spacing w:val="3"/>
          <w:szCs w:val="24"/>
        </w:rPr>
      </w:pPr>
      <w:r>
        <w:tab/>
        <w:t xml:space="preserve">Chapter 4 presented the research questions, null hypothesis, and results of the statistical </w:t>
      </w:r>
      <w:r w:rsidR="007F5F82">
        <w:t>analys</w:t>
      </w:r>
      <w:r w:rsidR="00CF4C34">
        <w:t>e</w:t>
      </w:r>
      <w:r w:rsidR="007F5F82">
        <w:t xml:space="preserve">s of the seven research questions using archival data of a community college in Tennessee. </w:t>
      </w:r>
      <w:r w:rsidR="008C2CEE">
        <w:t>Data were analyzed descriptively as</w:t>
      </w:r>
      <w:r w:rsidR="00CF4C34">
        <w:t xml:space="preserve"> </w:t>
      </w:r>
      <w:r w:rsidR="008C2CEE">
        <w:t xml:space="preserve">well as </w:t>
      </w:r>
      <w:r w:rsidR="00CF4C34">
        <w:t xml:space="preserve">with </w:t>
      </w:r>
      <w:r w:rsidR="008C2CEE">
        <w:t>statistical test</w:t>
      </w:r>
      <w:r w:rsidR="00447E12">
        <w:t>s</w:t>
      </w:r>
      <w:r w:rsidR="008C2CEE">
        <w:t xml:space="preserve"> including </w:t>
      </w:r>
      <w:r w:rsidR="008C2CEE">
        <w:rPr>
          <w:rFonts w:cs="Times New Roman"/>
          <w:color w:val="000000" w:themeColor="text1"/>
          <w:spacing w:val="3"/>
          <w:szCs w:val="24"/>
        </w:rPr>
        <w:t>two-way contingency table analysis</w:t>
      </w:r>
      <w:r w:rsidR="00447E12">
        <w:rPr>
          <w:rFonts w:cs="Times New Roman"/>
          <w:color w:val="000000" w:themeColor="text1"/>
          <w:spacing w:val="3"/>
          <w:szCs w:val="24"/>
        </w:rPr>
        <w:t xml:space="preserve"> and independent sample </w:t>
      </w:r>
      <w:r w:rsidR="00447E12" w:rsidRPr="00447E12">
        <w:rPr>
          <w:rFonts w:cs="Times New Roman"/>
          <w:i/>
          <w:iCs/>
          <w:color w:val="000000" w:themeColor="text1"/>
          <w:spacing w:val="3"/>
          <w:szCs w:val="24"/>
        </w:rPr>
        <w:t>t</w:t>
      </w:r>
      <w:r w:rsidR="00447E12">
        <w:rPr>
          <w:rFonts w:cs="Times New Roman"/>
          <w:color w:val="000000" w:themeColor="text1"/>
          <w:spacing w:val="3"/>
          <w:szCs w:val="24"/>
        </w:rPr>
        <w:t xml:space="preserve"> tests. </w:t>
      </w:r>
      <w:r w:rsidR="007459E2">
        <w:rPr>
          <w:rFonts w:cs="Times New Roman"/>
          <w:color w:val="000000" w:themeColor="text1"/>
          <w:spacing w:val="3"/>
          <w:szCs w:val="24"/>
        </w:rPr>
        <w:t>A</w:t>
      </w:r>
      <w:r w:rsidR="00743B44">
        <w:rPr>
          <w:rFonts w:cs="Times New Roman"/>
          <w:color w:val="000000" w:themeColor="text1"/>
          <w:spacing w:val="3"/>
          <w:szCs w:val="24"/>
        </w:rPr>
        <w:t xml:space="preserve"> summ</w:t>
      </w:r>
      <w:r w:rsidR="007459E2">
        <w:rPr>
          <w:rFonts w:cs="Times New Roman"/>
          <w:color w:val="000000" w:themeColor="text1"/>
          <w:spacing w:val="3"/>
          <w:szCs w:val="24"/>
        </w:rPr>
        <w:t xml:space="preserve">ary of the findings and conclusions </w:t>
      </w:r>
      <w:r w:rsidR="00F72ACB">
        <w:rPr>
          <w:rFonts w:cs="Times New Roman"/>
          <w:color w:val="000000" w:themeColor="text1"/>
          <w:spacing w:val="3"/>
          <w:szCs w:val="24"/>
        </w:rPr>
        <w:t xml:space="preserve">drawn as a result of the analysis </w:t>
      </w:r>
      <w:r w:rsidR="007459E2">
        <w:rPr>
          <w:rFonts w:cs="Times New Roman"/>
          <w:color w:val="000000" w:themeColor="text1"/>
          <w:spacing w:val="3"/>
          <w:szCs w:val="24"/>
        </w:rPr>
        <w:t>will be discussed in Chapter 5 along with recommendations for further research that may contribute to the existing literature.</w:t>
      </w:r>
    </w:p>
    <w:p w14:paraId="5118EC67" w14:textId="77777777" w:rsidR="00306CDE" w:rsidRDefault="00E073CC" w:rsidP="00306CDE">
      <w:pPr>
        <w:pStyle w:val="Heading2"/>
      </w:pPr>
      <w:r>
        <w:br w:type="page"/>
      </w:r>
      <w:bookmarkStart w:id="99" w:name="_Toc224458918"/>
      <w:bookmarkEnd w:id="64"/>
      <w:r w:rsidR="00306CDE">
        <w:lastRenderedPageBreak/>
        <w:t>Chapter 5. Summary, Discussion, and Recommendations</w:t>
      </w:r>
      <w:bookmarkEnd w:id="99"/>
    </w:p>
    <w:p w14:paraId="443213A5" w14:textId="60EC52EF" w:rsidR="00306CDE" w:rsidRPr="00AE76B4" w:rsidRDefault="00306CDE" w:rsidP="00306CDE">
      <w:pPr>
        <w:spacing w:after="160"/>
        <w:ind w:firstLine="720"/>
        <w:rPr>
          <w:rFonts w:cs="Times New Roman"/>
          <w:color w:val="000000" w:themeColor="text1"/>
          <w:szCs w:val="24"/>
        </w:rPr>
      </w:pPr>
      <w:r w:rsidRPr="00534C34">
        <w:rPr>
          <w:rFonts w:cs="Times New Roman"/>
          <w:color w:val="000000" w:themeColor="text1"/>
          <w:spacing w:val="3"/>
          <w:szCs w:val="24"/>
        </w:rPr>
        <w:t>The purpose of this non-experimental</w:t>
      </w:r>
      <w:r>
        <w:rPr>
          <w:rFonts w:cs="Times New Roman"/>
          <w:color w:val="000000" w:themeColor="text1"/>
          <w:spacing w:val="3"/>
          <w:szCs w:val="24"/>
        </w:rPr>
        <w:t>,</w:t>
      </w:r>
      <w:r w:rsidRPr="00534C34">
        <w:rPr>
          <w:rFonts w:cs="Times New Roman"/>
          <w:color w:val="000000" w:themeColor="text1"/>
          <w:spacing w:val="3"/>
          <w:szCs w:val="24"/>
        </w:rPr>
        <w:t xml:space="preserve"> quantitative study </w:t>
      </w:r>
      <w:r>
        <w:rPr>
          <w:rFonts w:cs="Times New Roman"/>
          <w:color w:val="000000" w:themeColor="text1"/>
          <w:spacing w:val="3"/>
          <w:szCs w:val="24"/>
        </w:rPr>
        <w:t>was</w:t>
      </w:r>
      <w:r w:rsidRPr="00534C34">
        <w:rPr>
          <w:rFonts w:cs="Times New Roman"/>
          <w:color w:val="000000" w:themeColor="text1"/>
          <w:spacing w:val="3"/>
          <w:szCs w:val="24"/>
        </w:rPr>
        <w:t xml:space="preserve"> </w:t>
      </w:r>
      <w:r>
        <w:rPr>
          <w:rFonts w:cs="Times New Roman"/>
          <w:color w:val="000000" w:themeColor="text1"/>
          <w:spacing w:val="3"/>
          <w:szCs w:val="24"/>
        </w:rPr>
        <w:t xml:space="preserve">to examine the relationship between dual enrollment participation and completion rates among first-time, full-time students at a Southeastern community college. </w:t>
      </w:r>
      <w:r w:rsidRPr="00534C34">
        <w:rPr>
          <w:rFonts w:cs="Times New Roman"/>
          <w:color w:val="000000" w:themeColor="text1"/>
          <w:spacing w:val="3"/>
          <w:szCs w:val="24"/>
        </w:rPr>
        <w:t xml:space="preserve"> </w:t>
      </w:r>
      <w:r>
        <w:rPr>
          <w:rFonts w:cs="Times New Roman"/>
          <w:color w:val="000000" w:themeColor="text1"/>
          <w:spacing w:val="3"/>
          <w:szCs w:val="24"/>
        </w:rPr>
        <w:t xml:space="preserve">Specifically, the intent of the study was to compare the graduation outcomes of students who completed at least one dual enrollment course while in high school with those who did not participate in dual enrollment. Graduation was measured by completion of an associate degree or certificate within </w:t>
      </w:r>
      <w:r w:rsidR="00870399">
        <w:rPr>
          <w:rFonts w:cs="Times New Roman"/>
          <w:color w:val="000000" w:themeColor="text1"/>
          <w:spacing w:val="3"/>
          <w:szCs w:val="24"/>
        </w:rPr>
        <w:t xml:space="preserve">3 years (150%) </w:t>
      </w:r>
      <w:r>
        <w:rPr>
          <w:rFonts w:cs="Times New Roman"/>
          <w:color w:val="000000" w:themeColor="text1"/>
          <w:spacing w:val="3"/>
          <w:szCs w:val="24"/>
        </w:rPr>
        <w:t xml:space="preserve">(IPEDS, n.d.). </w:t>
      </w:r>
      <w:r w:rsidRPr="00741C1C">
        <w:rPr>
          <w:rFonts w:cs="Times New Roman"/>
        </w:rPr>
        <w:t>There were</w:t>
      </w:r>
      <w:r>
        <w:rPr>
          <w:rFonts w:cs="Times New Roman"/>
        </w:rPr>
        <w:t xml:space="preserve"> 6,969 first-time, full-time students registered at the participating community college during the three-year time period of this study (fall 2017 through spring 2021). Because high school students must have a GPA of 3.0 to 4.0 and an ACT of 21 or greater to be eligible for dual enrollment, only students that met the criteria for dual enrollment while in high school were included in the final sample. Therefore, only students that participated in dual enrollment and non-dual enrollment students who met the criteria for dual enrollment while in high school were included in my study. This distinction is important because it allowed for the comparison of students with similar academic backgrounds to be analyzed in each of the research questions. </w:t>
      </w:r>
      <w:r>
        <w:rPr>
          <w:rFonts w:cs="Times New Roman"/>
          <w:color w:val="000000" w:themeColor="text1"/>
          <w:spacing w:val="3"/>
          <w:szCs w:val="24"/>
        </w:rPr>
        <w:t>Two thousand seventy-eight students met these criteria.</w:t>
      </w:r>
      <w:r>
        <w:t xml:space="preserve"> </w:t>
      </w:r>
      <w:r>
        <w:rPr>
          <w:rFonts w:cs="Times New Roman"/>
          <w:color w:val="000000" w:themeColor="text1"/>
          <w:spacing w:val="3"/>
          <w:szCs w:val="24"/>
        </w:rPr>
        <w:t xml:space="preserve">The findings of this study may contribute to a better understanding of the effectiveness of dual enrollment as a strategy to support timely degree completion, inform institutional practices, and policy decisions related to early postsecondary opportunities. </w:t>
      </w:r>
    </w:p>
    <w:p w14:paraId="50286DD1" w14:textId="77777777" w:rsidR="00306CDE" w:rsidRDefault="00306CDE" w:rsidP="00306CDE">
      <w:pPr>
        <w:pStyle w:val="Heading3"/>
        <w:rPr>
          <w:rFonts w:cs="Times New Roman"/>
        </w:rPr>
      </w:pPr>
      <w:bookmarkStart w:id="100" w:name="_Toc224458919"/>
      <w:r>
        <w:rPr>
          <w:rFonts w:cs="Times New Roman"/>
        </w:rPr>
        <w:t>Discussion</w:t>
      </w:r>
      <w:bookmarkEnd w:id="100"/>
    </w:p>
    <w:p w14:paraId="3A09D2B4" w14:textId="3F25B0BA" w:rsidR="00306CDE" w:rsidRPr="00A12735" w:rsidRDefault="00306CDE" w:rsidP="00306CDE">
      <w:pPr>
        <w:ind w:firstLine="720"/>
        <w:rPr>
          <w:rFonts w:cs="Times New Roman"/>
          <w:color w:val="000000" w:themeColor="text1"/>
          <w:szCs w:val="24"/>
        </w:rPr>
      </w:pPr>
      <w:r w:rsidRPr="00505087">
        <w:rPr>
          <w:rFonts w:cs="Times New Roman"/>
          <w:color w:val="000000" w:themeColor="text1"/>
          <w:szCs w:val="24"/>
        </w:rPr>
        <w:t xml:space="preserve">This </w:t>
      </w:r>
      <w:r>
        <w:rPr>
          <w:rFonts w:cs="Times New Roman"/>
          <w:color w:val="000000" w:themeColor="text1"/>
          <w:szCs w:val="24"/>
        </w:rPr>
        <w:t xml:space="preserve">non-experimental, </w:t>
      </w:r>
      <w:r w:rsidRPr="00505087">
        <w:rPr>
          <w:rFonts w:cs="Times New Roman"/>
          <w:color w:val="000000" w:themeColor="text1"/>
          <w:szCs w:val="24"/>
        </w:rPr>
        <w:t xml:space="preserve">quantitative study </w:t>
      </w:r>
      <w:r>
        <w:rPr>
          <w:rFonts w:cs="Times New Roman"/>
          <w:color w:val="000000" w:themeColor="text1"/>
          <w:szCs w:val="24"/>
        </w:rPr>
        <w:t>addressed college completion rates within 3 years</w:t>
      </w:r>
      <w:r w:rsidR="00305D6A">
        <w:rPr>
          <w:rFonts w:cs="Times New Roman"/>
          <w:color w:val="000000" w:themeColor="text1"/>
          <w:szCs w:val="24"/>
        </w:rPr>
        <w:t xml:space="preserve"> (150%)</w:t>
      </w:r>
      <w:r>
        <w:rPr>
          <w:rFonts w:cs="Times New Roman"/>
          <w:color w:val="000000" w:themeColor="text1"/>
          <w:szCs w:val="24"/>
        </w:rPr>
        <w:t xml:space="preserve"> for first-time, full-time dual enrollment and non-dual enrollment students</w:t>
      </w:r>
      <w:r w:rsidR="00301DE2">
        <w:rPr>
          <w:rFonts w:cs="Times New Roman"/>
          <w:color w:val="000000" w:themeColor="text1"/>
          <w:szCs w:val="24"/>
        </w:rPr>
        <w:t>.</w:t>
      </w:r>
      <w:r>
        <w:rPr>
          <w:rFonts w:cs="Times New Roman"/>
          <w:color w:val="000000" w:themeColor="text1"/>
          <w:szCs w:val="24"/>
        </w:rPr>
        <w:t xml:space="preserve"> </w:t>
      </w:r>
      <w:r w:rsidR="00301DE2">
        <w:rPr>
          <w:rFonts w:cs="Times New Roman"/>
          <w:color w:val="000000" w:themeColor="text1"/>
          <w:szCs w:val="24"/>
        </w:rPr>
        <w:t>I</w:t>
      </w:r>
      <w:r>
        <w:rPr>
          <w:rFonts w:cs="Times New Roman"/>
          <w:color w:val="000000" w:themeColor="text1"/>
          <w:szCs w:val="24"/>
        </w:rPr>
        <w:t>n</w:t>
      </w:r>
      <w:r w:rsidRPr="00505087">
        <w:rPr>
          <w:rFonts w:cs="Times New Roman"/>
          <w:color w:val="000000" w:themeColor="text1"/>
          <w:szCs w:val="24"/>
        </w:rPr>
        <w:t xml:space="preserve"> </w:t>
      </w:r>
      <w:r>
        <w:rPr>
          <w:rFonts w:cs="Times New Roman"/>
          <w:color w:val="000000" w:themeColor="text1"/>
          <w:szCs w:val="24"/>
        </w:rPr>
        <w:t>Research Question 1</w:t>
      </w:r>
      <w:r w:rsidR="00301DE2">
        <w:rPr>
          <w:rFonts w:cs="Times New Roman"/>
          <w:color w:val="000000" w:themeColor="text1"/>
          <w:szCs w:val="24"/>
        </w:rPr>
        <w:t xml:space="preserve">, </w:t>
      </w:r>
      <w:r>
        <w:t xml:space="preserve">I aimed to identify </w:t>
      </w:r>
      <w:r w:rsidR="00F76376">
        <w:t xml:space="preserve">first-time, full-time community college students and </w:t>
      </w:r>
      <w:r>
        <w:t xml:space="preserve">if </w:t>
      </w:r>
      <w:r>
        <w:lastRenderedPageBreak/>
        <w:t xml:space="preserve">there was a significant </w:t>
      </w:r>
      <w:r>
        <w:rPr>
          <w:rFonts w:cs="Times New Roman"/>
        </w:rPr>
        <w:t>relationship between</w:t>
      </w:r>
      <w:r w:rsidRPr="00AF65A3">
        <w:rPr>
          <w:rFonts w:cs="Times New Roman"/>
        </w:rPr>
        <w:t xml:space="preserve"> </w:t>
      </w:r>
      <w:r>
        <w:rPr>
          <w:rFonts w:cs="Times New Roman"/>
        </w:rPr>
        <w:t xml:space="preserve">graduating within </w:t>
      </w:r>
      <w:r w:rsidRPr="00AF65A3">
        <w:rPr>
          <w:rFonts w:cs="Times New Roman"/>
        </w:rPr>
        <w:t>3</w:t>
      </w:r>
      <w:r>
        <w:rPr>
          <w:rFonts w:cs="Times New Roman"/>
        </w:rPr>
        <w:t xml:space="preserve"> </w:t>
      </w:r>
      <w:r w:rsidRPr="00AF65A3">
        <w:rPr>
          <w:rFonts w:cs="Times New Roman"/>
        </w:rPr>
        <w:t>year</w:t>
      </w:r>
      <w:r>
        <w:rPr>
          <w:rFonts w:cs="Times New Roman"/>
        </w:rPr>
        <w:t>s (150%) and completing</w:t>
      </w:r>
      <w:r w:rsidRPr="00AF65A3">
        <w:rPr>
          <w:rFonts w:cs="Times New Roman"/>
        </w:rPr>
        <w:t xml:space="preserve"> at least one dual</w:t>
      </w:r>
      <w:r>
        <w:rPr>
          <w:rFonts w:cs="Times New Roman"/>
        </w:rPr>
        <w:t xml:space="preserve"> </w:t>
      </w:r>
      <w:r w:rsidRPr="00AF65A3">
        <w:rPr>
          <w:rFonts w:cs="Times New Roman"/>
        </w:rPr>
        <w:t>enrollment course in high school</w:t>
      </w:r>
      <w:r>
        <w:rPr>
          <w:rFonts w:cs="Times New Roman"/>
        </w:rPr>
        <w:t xml:space="preserve">. The analysis revealed that graduating within 3 years (150%) and taking at least one dual enrollment course in high school were significantly </w:t>
      </w:r>
      <w:r w:rsidR="00F63BDB">
        <w:rPr>
          <w:rFonts w:cs="Times New Roman"/>
        </w:rPr>
        <w:t>associated</w:t>
      </w:r>
      <w:r>
        <w:rPr>
          <w:rFonts w:cs="Times New Roman"/>
        </w:rPr>
        <w:t>. In general, students who completed at least one dual enrollment course were more likely to graduate than students who did not participate in dual enrollment. These findings agree with Melons et al. (2022). in that dual enrollment participation has been linked to a likelihood of degree attainment. Similarly, research from Velasco et al. (2024) showed that 42% of dual enrollment students completed a college award within four years of high school graduation. Higher completion rates were reported as one benefit of dual enrollment as reported through the research of Burns et al. (2019) and Schaller et al. (2025)</w:t>
      </w:r>
      <w:r w:rsidR="00DD62E4">
        <w:rPr>
          <w:rFonts w:cs="Times New Roman"/>
        </w:rPr>
        <w:t xml:space="preserve"> as well as decreased need for </w:t>
      </w:r>
      <w:r w:rsidR="00DD62E4" w:rsidRPr="00D53A7D">
        <w:rPr>
          <w:rFonts w:cs="Times New Roman"/>
        </w:rPr>
        <w:t xml:space="preserve">mediation </w:t>
      </w:r>
      <w:r w:rsidR="00EA2F0C" w:rsidRPr="00D53A7D">
        <w:rPr>
          <w:rFonts w:cs="Times New Roman"/>
        </w:rPr>
        <w:t>reported by Grubb et al</w:t>
      </w:r>
      <w:r w:rsidRPr="00D53A7D">
        <w:rPr>
          <w:rFonts w:cs="Times New Roman"/>
        </w:rPr>
        <w:t>.</w:t>
      </w:r>
      <w:r w:rsidR="00EA2F0C" w:rsidRPr="00D53A7D">
        <w:rPr>
          <w:rFonts w:cs="Times New Roman"/>
        </w:rPr>
        <w:t xml:space="preserve"> (2017).</w:t>
      </w:r>
      <w:r>
        <w:rPr>
          <w:rFonts w:cs="Times New Roman"/>
        </w:rPr>
        <w:t xml:space="preserve"> The results of my study contribute to the general consensus revealed in the literature review showing higher college degree completion rates for dual enrollment students. While many researchers, such as Melons et al. (2022), Burns et al. (2023) and, Velasco et al. (2024), focused on the relationship of dual enrollment and college degree completion across the board, my study extends the literature by exploring an even playing field of academically similar students. </w:t>
      </w:r>
      <w:r w:rsidR="000D46CC">
        <w:rPr>
          <w:rFonts w:cs="Times New Roman"/>
        </w:rPr>
        <w:t>This makes a critical contribution to the literature in that it isolated the impact of the program itself from the student’s pre-existing abilities. By eliminating the bias that only high-achieving students take and benefit f</w:t>
      </w:r>
      <w:r w:rsidR="004F4E02">
        <w:rPr>
          <w:rFonts w:cs="Times New Roman"/>
        </w:rPr>
        <w:t>ro</w:t>
      </w:r>
      <w:r w:rsidR="000D46CC">
        <w:rPr>
          <w:rFonts w:cs="Times New Roman"/>
        </w:rPr>
        <w:t xml:space="preserve">m dual enrollment, the </w:t>
      </w:r>
      <w:r w:rsidR="007840DF">
        <w:rPr>
          <w:rFonts w:cs="Times New Roman"/>
        </w:rPr>
        <w:t>results indicate a significant association between dual enrollment participation and several indicators of early college success</w:t>
      </w:r>
      <w:r w:rsidR="000D46CC">
        <w:rPr>
          <w:rFonts w:cs="Times New Roman"/>
        </w:rPr>
        <w:t xml:space="preserve">. This strengthens the claim that dual enrollment contributes to higher college degree completion. </w:t>
      </w:r>
      <w:r>
        <w:rPr>
          <w:rFonts w:cs="Times New Roman"/>
        </w:rPr>
        <w:t>The impact of dual enrollment show</w:t>
      </w:r>
      <w:r w:rsidR="00305D6A">
        <w:rPr>
          <w:rFonts w:cs="Times New Roman"/>
        </w:rPr>
        <w:t>ed</w:t>
      </w:r>
      <w:r>
        <w:rPr>
          <w:rFonts w:cs="Times New Roman"/>
        </w:rPr>
        <w:t xml:space="preserve"> higher college degree completion within three years of students who completed at least one dual enrollment course compared to their</w:t>
      </w:r>
      <w:r w:rsidR="00305D6A">
        <w:rPr>
          <w:rFonts w:cs="Times New Roman"/>
        </w:rPr>
        <w:t xml:space="preserve"> </w:t>
      </w:r>
      <w:r>
        <w:rPr>
          <w:rFonts w:cs="Times New Roman"/>
        </w:rPr>
        <w:t xml:space="preserve">academically equal </w:t>
      </w:r>
      <w:r w:rsidR="00305D6A">
        <w:rPr>
          <w:rFonts w:cs="Times New Roman"/>
        </w:rPr>
        <w:t xml:space="preserve">non-dual enrollment </w:t>
      </w:r>
      <w:r>
        <w:rPr>
          <w:rFonts w:cs="Times New Roman"/>
        </w:rPr>
        <w:t xml:space="preserve">peers. </w:t>
      </w:r>
      <w:r w:rsidR="00FF45FB">
        <w:rPr>
          <w:rFonts w:cs="Times New Roman"/>
        </w:rPr>
        <w:t xml:space="preserve">The results suggest that </w:t>
      </w:r>
      <w:r w:rsidR="00FF45FB">
        <w:rPr>
          <w:rFonts w:cs="Times New Roman"/>
        </w:rPr>
        <w:lastRenderedPageBreak/>
        <w:t>participation in dual enrollment may strengthen students’ readiness for college-level expectations</w:t>
      </w:r>
      <w:r w:rsidR="007713D5">
        <w:rPr>
          <w:rFonts w:cs="Times New Roman"/>
        </w:rPr>
        <w:t xml:space="preserve"> and contribute to a smoother transition to college. </w:t>
      </w:r>
      <w:r w:rsidR="00FF45FB">
        <w:rPr>
          <w:rFonts w:cs="Times New Roman"/>
        </w:rPr>
        <w:t>Students who complete dual enrollment courses enter college with greater familiarity with academic rigor, study expectations, and advising structures, which may contribute to stronger academic momentum and higher completion rates.</w:t>
      </w:r>
      <w:r>
        <w:rPr>
          <w:rFonts w:cs="Times New Roman"/>
        </w:rPr>
        <w:t xml:space="preserve"> </w:t>
      </w:r>
    </w:p>
    <w:p w14:paraId="25E50CD3" w14:textId="6CE1B955" w:rsidR="00306CDE" w:rsidRPr="00A866B8" w:rsidRDefault="00306CDE" w:rsidP="00306CDE">
      <w:pPr>
        <w:ind w:firstLine="720"/>
        <w:rPr>
          <w:rFonts w:cs="Times New Roman"/>
          <w:color w:val="000000" w:themeColor="text1"/>
          <w:szCs w:val="24"/>
        </w:rPr>
      </w:pPr>
      <w:r w:rsidRPr="00E531E9">
        <w:rPr>
          <w:rFonts w:cs="Times New Roman"/>
          <w:color w:val="000000" w:themeColor="text1"/>
          <w:szCs w:val="24"/>
        </w:rPr>
        <w:t xml:space="preserve">Research </w:t>
      </w:r>
      <w:r>
        <w:rPr>
          <w:rFonts w:cs="Times New Roman"/>
          <w:color w:val="000000" w:themeColor="text1"/>
          <w:szCs w:val="24"/>
        </w:rPr>
        <w:t>Q</w:t>
      </w:r>
      <w:r w:rsidRPr="00E531E9">
        <w:rPr>
          <w:rFonts w:cs="Times New Roman"/>
          <w:color w:val="000000" w:themeColor="text1"/>
          <w:szCs w:val="24"/>
        </w:rPr>
        <w:t>uestion 2</w:t>
      </w:r>
      <w:r>
        <w:rPr>
          <w:rFonts w:cs="Times New Roman"/>
          <w:color w:val="000000" w:themeColor="text1"/>
          <w:szCs w:val="24"/>
        </w:rPr>
        <w:t xml:space="preserve"> compared the</w:t>
      </w:r>
      <w:r>
        <w:rPr>
          <w:rFonts w:cs="Times New Roman"/>
        </w:rPr>
        <w:t xml:space="preserve"> difference in the college GPA at the end of year one between first-time, full-time, community college students who completed at least one dual enrollment course in high school and those students who did not participate in dual enrollment. The analysis revealed that college GPA at the end of year one and taking at least one dual enrollment course in high school were significantly </w:t>
      </w:r>
      <w:r w:rsidR="00EB02B5">
        <w:rPr>
          <w:rFonts w:cs="Times New Roman"/>
        </w:rPr>
        <w:t>associated</w:t>
      </w:r>
      <w:r>
        <w:rPr>
          <w:rFonts w:cs="Times New Roman"/>
        </w:rPr>
        <w:t xml:space="preserve">. My findings </w:t>
      </w:r>
      <w:r w:rsidR="00B92AEC">
        <w:rPr>
          <w:rFonts w:cs="Times New Roman"/>
        </w:rPr>
        <w:t xml:space="preserve">expand </w:t>
      </w:r>
      <w:r>
        <w:rPr>
          <w:rFonts w:cs="Times New Roman"/>
        </w:rPr>
        <w:t>the conventional knowledge that dual enrollment has an impact on GPA,</w:t>
      </w:r>
      <w:r w:rsidR="00D53A7D">
        <w:rPr>
          <w:rFonts w:cs="Times New Roman"/>
        </w:rPr>
        <w:t xml:space="preserve"> as reported </w:t>
      </w:r>
      <w:r w:rsidR="00D53A7D">
        <w:rPr>
          <w:rFonts w:cs="Times New Roman"/>
          <w:color w:val="000000" w:themeColor="text1"/>
          <w:spacing w:val="3"/>
          <w:szCs w:val="24"/>
        </w:rPr>
        <w:t>in the research by Schaller et al. (2025) and findings from the Kentucky</w:t>
      </w:r>
      <w:r w:rsidR="00D53A7D">
        <w:rPr>
          <w:rFonts w:eastAsia="Times New Roman" w:cs="Times New Roman"/>
          <w:color w:val="000000" w:themeColor="text1"/>
          <w:spacing w:val="3"/>
          <w:szCs w:val="24"/>
        </w:rPr>
        <w:t xml:space="preserve"> Council on Postsecondary Education (2020)</w:t>
      </w:r>
      <w:r w:rsidR="00D53A7D">
        <w:rPr>
          <w:rFonts w:cs="Times New Roman"/>
          <w:color w:val="000000" w:themeColor="text1"/>
          <w:spacing w:val="3"/>
          <w:szCs w:val="24"/>
        </w:rPr>
        <w:t xml:space="preserve">. The results of my study </w:t>
      </w:r>
      <w:r w:rsidR="00B92AEC">
        <w:rPr>
          <w:rFonts w:cs="Times New Roman"/>
        </w:rPr>
        <w:t>reframe</w:t>
      </w:r>
      <w:r>
        <w:rPr>
          <w:rFonts w:cs="Times New Roman"/>
        </w:rPr>
        <w:t xml:space="preserve"> the literature by exploring an even playing field of academically similar students</w:t>
      </w:r>
      <w:r w:rsidR="00B92AEC">
        <w:rPr>
          <w:rFonts w:cs="Times New Roman"/>
        </w:rPr>
        <w:t xml:space="preserve"> and their</w:t>
      </w:r>
      <w:r>
        <w:rPr>
          <w:rFonts w:cs="Times New Roman"/>
          <w:color w:val="000000" w:themeColor="text1"/>
          <w:spacing w:val="3"/>
          <w:szCs w:val="24"/>
        </w:rPr>
        <w:t xml:space="preserve"> college GPA at the end of year one. The population were all eligible for dual enrollment, meeting the 3.0 to 4.0 GPA and ACT of 21 requirements. In general, students in the dual enrollment group had a significantly higher college GPA at the end of year one with an average of 3.26 compared to the non-dual enrollment students GPA at the end of year one average of 2.89. The findings of my study suggest </w:t>
      </w:r>
      <w:r w:rsidR="00B92AEC">
        <w:rPr>
          <w:rFonts w:cs="Times New Roman"/>
          <w:color w:val="000000" w:themeColor="text1"/>
          <w:spacing w:val="3"/>
          <w:szCs w:val="24"/>
        </w:rPr>
        <w:t xml:space="preserve">that the experience of </w:t>
      </w:r>
      <w:r>
        <w:rPr>
          <w:rFonts w:cs="Times New Roman"/>
          <w:color w:val="000000" w:themeColor="text1"/>
          <w:spacing w:val="3"/>
          <w:szCs w:val="24"/>
        </w:rPr>
        <w:t>dual enrollment</w:t>
      </w:r>
      <w:r w:rsidR="00B92AEC">
        <w:rPr>
          <w:rFonts w:cs="Times New Roman"/>
          <w:color w:val="000000" w:themeColor="text1"/>
          <w:spacing w:val="3"/>
          <w:szCs w:val="24"/>
        </w:rPr>
        <w:t xml:space="preserve"> itself</w:t>
      </w:r>
      <w:r>
        <w:rPr>
          <w:rFonts w:cs="Times New Roman"/>
          <w:color w:val="000000" w:themeColor="text1"/>
          <w:spacing w:val="3"/>
          <w:szCs w:val="24"/>
        </w:rPr>
        <w:t xml:space="preserve"> </w:t>
      </w:r>
      <w:r w:rsidR="00F51AE0">
        <w:rPr>
          <w:rFonts w:cs="Times New Roman"/>
          <w:color w:val="000000" w:themeColor="text1"/>
          <w:spacing w:val="3"/>
          <w:szCs w:val="24"/>
        </w:rPr>
        <w:t xml:space="preserve">contributes </w:t>
      </w:r>
      <w:r w:rsidR="00B92AEC">
        <w:rPr>
          <w:rFonts w:cs="Times New Roman"/>
          <w:color w:val="000000" w:themeColor="text1"/>
          <w:spacing w:val="3"/>
          <w:szCs w:val="24"/>
        </w:rPr>
        <w:t>to stronger first-year</w:t>
      </w:r>
      <w:r>
        <w:rPr>
          <w:rFonts w:cs="Times New Roman"/>
          <w:color w:val="000000" w:themeColor="text1"/>
          <w:spacing w:val="3"/>
          <w:szCs w:val="24"/>
        </w:rPr>
        <w:t xml:space="preserve"> GPA</w:t>
      </w:r>
      <w:r w:rsidR="00B92AEC">
        <w:rPr>
          <w:rFonts w:cs="Times New Roman"/>
          <w:color w:val="000000" w:themeColor="text1"/>
          <w:spacing w:val="3"/>
          <w:szCs w:val="24"/>
        </w:rPr>
        <w:t xml:space="preserve"> outcomes</w:t>
      </w:r>
      <w:r>
        <w:rPr>
          <w:rFonts w:cs="Times New Roman"/>
          <w:color w:val="000000" w:themeColor="text1"/>
          <w:spacing w:val="3"/>
          <w:szCs w:val="24"/>
        </w:rPr>
        <w:t xml:space="preserve">. Students who participate in dual enrollment may demonstrate college readiness through college-level rigor before full-time enrollment. </w:t>
      </w:r>
      <w:r w:rsidR="00082D90">
        <w:rPr>
          <w:rFonts w:cs="Times New Roman"/>
          <w:color w:val="000000" w:themeColor="text1"/>
          <w:spacing w:val="3"/>
          <w:szCs w:val="24"/>
        </w:rPr>
        <w:t>Exposure to college</w:t>
      </w:r>
      <w:r w:rsidR="003D0736">
        <w:rPr>
          <w:rFonts w:cs="Times New Roman"/>
          <w:color w:val="000000" w:themeColor="text1"/>
          <w:spacing w:val="3"/>
          <w:szCs w:val="24"/>
        </w:rPr>
        <w:t xml:space="preserve">-level academic expectations during high school may help students </w:t>
      </w:r>
      <w:r w:rsidR="001877C2">
        <w:rPr>
          <w:rFonts w:cs="Times New Roman"/>
          <w:color w:val="000000" w:themeColor="text1"/>
          <w:spacing w:val="3"/>
          <w:szCs w:val="24"/>
        </w:rPr>
        <w:t>establish</w:t>
      </w:r>
      <w:r w:rsidR="003D0736">
        <w:rPr>
          <w:rFonts w:cs="Times New Roman"/>
          <w:color w:val="000000" w:themeColor="text1"/>
          <w:spacing w:val="3"/>
          <w:szCs w:val="24"/>
        </w:rPr>
        <w:t xml:space="preserve"> the study skills and academic habits required for success after matriculation. As a result, dual enrollment participation may </w:t>
      </w:r>
      <w:r w:rsidR="003D0736">
        <w:rPr>
          <w:rFonts w:cs="Times New Roman"/>
          <w:color w:val="000000" w:themeColor="text1"/>
          <w:spacing w:val="3"/>
          <w:szCs w:val="24"/>
        </w:rPr>
        <w:lastRenderedPageBreak/>
        <w:t>contribute to stronger academic performance during the first year of college.</w:t>
      </w:r>
      <w:r>
        <w:rPr>
          <w:rFonts w:cs="Times New Roman"/>
          <w:color w:val="000000" w:themeColor="text1"/>
          <w:spacing w:val="3"/>
          <w:szCs w:val="24"/>
        </w:rPr>
        <w:t xml:space="preserve"> </w:t>
      </w:r>
      <w:r w:rsidR="00F51AE0">
        <w:rPr>
          <w:rFonts w:cs="Times New Roman"/>
          <w:color w:val="000000" w:themeColor="text1"/>
          <w:spacing w:val="3"/>
          <w:szCs w:val="24"/>
        </w:rPr>
        <w:t>GPA can be an indicator that can alert institutions to intervene and assist students before academic struggles become problematic</w:t>
      </w:r>
      <w:r w:rsidR="00502523">
        <w:rPr>
          <w:rFonts w:cs="Times New Roman"/>
          <w:color w:val="000000" w:themeColor="text1"/>
          <w:spacing w:val="3"/>
          <w:szCs w:val="24"/>
        </w:rPr>
        <w:t xml:space="preserve"> for maintaining college academic and financial aid GPA requirements</w:t>
      </w:r>
      <w:r w:rsidR="00F51AE0">
        <w:rPr>
          <w:rFonts w:cs="Times New Roman"/>
          <w:color w:val="000000" w:themeColor="text1"/>
          <w:spacing w:val="3"/>
          <w:szCs w:val="24"/>
        </w:rPr>
        <w:t>.</w:t>
      </w:r>
      <w:r w:rsidR="00502523">
        <w:rPr>
          <w:rFonts w:cs="Times New Roman"/>
          <w:color w:val="000000" w:themeColor="text1"/>
          <w:spacing w:val="3"/>
          <w:szCs w:val="24"/>
        </w:rPr>
        <w:t xml:space="preserve"> First-year college GPA outcomes can serve as a reliable indicator </w:t>
      </w:r>
      <w:r w:rsidR="00CF5FFF">
        <w:rPr>
          <w:rFonts w:cs="Times New Roman"/>
          <w:color w:val="000000" w:themeColor="text1"/>
          <w:spacing w:val="3"/>
          <w:szCs w:val="24"/>
        </w:rPr>
        <w:t>for</w:t>
      </w:r>
      <w:r w:rsidR="00502523">
        <w:rPr>
          <w:rFonts w:cs="Times New Roman"/>
          <w:color w:val="000000" w:themeColor="text1"/>
          <w:spacing w:val="3"/>
          <w:szCs w:val="24"/>
        </w:rPr>
        <w:t xml:space="preserve"> community colleges for academic momentum, student retention, and probability of graduating on time. </w:t>
      </w:r>
      <w:r w:rsidR="00375B17">
        <w:rPr>
          <w:rFonts w:cs="Times New Roman"/>
          <w:color w:val="000000" w:themeColor="text1"/>
          <w:spacing w:val="3"/>
          <w:szCs w:val="24"/>
        </w:rPr>
        <w:t xml:space="preserve">The research points to dual enrollment as a contributor to higher </w:t>
      </w:r>
      <w:r w:rsidR="00375B17">
        <w:rPr>
          <w:rFonts w:cs="Times New Roman"/>
        </w:rPr>
        <w:t>college GPA at the end of year one, not just students more academically prepared.</w:t>
      </w:r>
      <w:r w:rsidR="00375B17">
        <w:rPr>
          <w:rFonts w:cs="Times New Roman"/>
          <w:color w:val="000000" w:themeColor="text1"/>
          <w:spacing w:val="3"/>
          <w:szCs w:val="24"/>
        </w:rPr>
        <w:t xml:space="preserve"> </w:t>
      </w:r>
    </w:p>
    <w:p w14:paraId="5F29AE6D" w14:textId="39F337D6" w:rsidR="00306CDE" w:rsidRPr="00FB279A" w:rsidRDefault="00306CDE" w:rsidP="00306CDE">
      <w:pPr>
        <w:ind w:firstLine="720"/>
        <w:rPr>
          <w:rFonts w:cs="Times New Roman"/>
        </w:rPr>
      </w:pPr>
      <w:r w:rsidRPr="00A866B8">
        <w:rPr>
          <w:rFonts w:cs="Times New Roman"/>
          <w:color w:val="000000" w:themeColor="text1"/>
          <w:szCs w:val="24"/>
        </w:rPr>
        <w:t xml:space="preserve">Research </w:t>
      </w:r>
      <w:r>
        <w:rPr>
          <w:rFonts w:cs="Times New Roman"/>
          <w:color w:val="000000" w:themeColor="text1"/>
          <w:szCs w:val="24"/>
        </w:rPr>
        <w:t>Q</w:t>
      </w:r>
      <w:r w:rsidRPr="00A866B8">
        <w:rPr>
          <w:rFonts w:cs="Times New Roman"/>
          <w:color w:val="000000" w:themeColor="text1"/>
          <w:szCs w:val="24"/>
        </w:rPr>
        <w:t xml:space="preserve">uestion </w:t>
      </w:r>
      <w:r>
        <w:rPr>
          <w:rFonts w:cs="Times New Roman"/>
          <w:color w:val="000000" w:themeColor="text1"/>
          <w:szCs w:val="24"/>
        </w:rPr>
        <w:t>3 aimed to identify if there was a</w:t>
      </w:r>
      <w:r w:rsidRPr="00734B0B">
        <w:rPr>
          <w:rFonts w:cs="Times New Roman"/>
          <w:color w:val="000000" w:themeColor="text1"/>
          <w:szCs w:val="24"/>
        </w:rPr>
        <w:t xml:space="preserve"> significant </w:t>
      </w:r>
      <w:r w:rsidRPr="00127357">
        <w:rPr>
          <w:rFonts w:cs="Times New Roman"/>
          <w:color w:val="000000" w:themeColor="text1"/>
          <w:szCs w:val="24"/>
        </w:rPr>
        <w:t>difference in the enrollment status (part-time or full-time) between students that participated in dual enrollment while in high school and those students that did not participate in dual enrollment</w:t>
      </w:r>
      <w:r>
        <w:rPr>
          <w:rFonts w:cs="Times New Roman"/>
          <w:color w:val="000000" w:themeColor="text1"/>
          <w:szCs w:val="24"/>
        </w:rPr>
        <w:t xml:space="preserve">. The findings showed significant differences in enrollment status and dual enrollment. </w:t>
      </w:r>
      <w:r>
        <w:rPr>
          <w:rFonts w:cs="Times New Roman"/>
          <w:szCs w:val="24"/>
        </w:rPr>
        <w:t xml:space="preserve">In general, the results suggest that students who took dual enrollment were significantly more likely to have full-time enrollment status than those students who did not take dual enrollment. </w:t>
      </w:r>
      <w:r>
        <w:rPr>
          <w:rFonts w:cs="Times New Roman"/>
          <w:color w:val="000000" w:themeColor="text1"/>
          <w:szCs w:val="24"/>
        </w:rPr>
        <w:t>Data revealed from f</w:t>
      </w:r>
      <w:r w:rsidRPr="00BA2055">
        <w:rPr>
          <w:rFonts w:cs="Times New Roman"/>
          <w:color w:val="000000" w:themeColor="text1"/>
          <w:szCs w:val="24"/>
        </w:rPr>
        <w:t>indings</w:t>
      </w:r>
      <w:r>
        <w:rPr>
          <w:rFonts w:cs="Times New Roman"/>
          <w:color w:val="000000" w:themeColor="text1"/>
          <w:szCs w:val="24"/>
        </w:rPr>
        <w:t xml:space="preserve"> of Wang et al. (2015)</w:t>
      </w:r>
      <w:r w:rsidRPr="00BA2055">
        <w:rPr>
          <w:rFonts w:cs="Times New Roman"/>
          <w:color w:val="000000" w:themeColor="text1"/>
          <w:szCs w:val="24"/>
        </w:rPr>
        <w:t xml:space="preserve"> imply the possible advantages of dual enrollment participation appear to convert into early academic momentum that support students on their higher education path after they are enrolled in college</w:t>
      </w:r>
      <w:r>
        <w:rPr>
          <w:rFonts w:cs="Times New Roman"/>
          <w:color w:val="000000" w:themeColor="text1"/>
          <w:szCs w:val="24"/>
        </w:rPr>
        <w:t xml:space="preserve">. These findings agree with National Student Clearinghouse Research Center (2025) and Schaller et al. (2025), in that dual enrollment participation has been linked to higher persistence and full-time enrollment status. </w:t>
      </w:r>
      <w:r>
        <w:rPr>
          <w:rFonts w:cs="Times New Roman"/>
        </w:rPr>
        <w:t xml:space="preserve">The results of my study contribute to the general consensus revealed in the literature review showing greater full-time status for dual enrollment students. </w:t>
      </w:r>
      <w:r>
        <w:rPr>
          <w:rFonts w:cs="Times New Roman"/>
          <w:color w:val="000000" w:themeColor="text1"/>
          <w:szCs w:val="24"/>
        </w:rPr>
        <w:t xml:space="preserve">Dual enrollment contributes to student success through early course </w:t>
      </w:r>
      <w:r w:rsidR="004B7692">
        <w:rPr>
          <w:rFonts w:cs="Times New Roman"/>
          <w:color w:val="000000" w:themeColor="text1"/>
          <w:szCs w:val="24"/>
        </w:rPr>
        <w:t>r</w:t>
      </w:r>
      <w:r>
        <w:rPr>
          <w:rFonts w:cs="Times New Roman"/>
          <w:color w:val="000000" w:themeColor="text1"/>
          <w:szCs w:val="24"/>
        </w:rPr>
        <w:t xml:space="preserve">igor and can act as a bridge to higher education with increased likelihood of full-time college enrollment. </w:t>
      </w:r>
      <w:r w:rsidRPr="00AE2863">
        <w:t>A realistic understanding of college expectations through dual enrollment helps student</w:t>
      </w:r>
      <w:r>
        <w:t>s</w:t>
      </w:r>
      <w:r w:rsidRPr="00AE2863">
        <w:t xml:space="preserve"> improve time management and academic responsibility (Song &amp; </w:t>
      </w:r>
      <w:r>
        <w:t>Zeiser</w:t>
      </w:r>
      <w:r w:rsidRPr="00AE2863">
        <w:t>, 2019)</w:t>
      </w:r>
      <w:r>
        <w:t>. Dual</w:t>
      </w:r>
      <w:r w:rsidRPr="00F400A7">
        <w:t xml:space="preserve"> </w:t>
      </w:r>
      <w:r w:rsidRPr="00F400A7">
        <w:lastRenderedPageBreak/>
        <w:t>enrollment can help ease the transition to college by helping students feel part of the college, learn the structure of college coursework, and understand the role of a college student (Lile et al., 2018).</w:t>
      </w:r>
      <w:r>
        <w:t xml:space="preserve"> </w:t>
      </w:r>
      <w:r>
        <w:rPr>
          <w:rFonts w:cs="Times New Roman"/>
          <w:color w:val="000000" w:themeColor="text1"/>
          <w:szCs w:val="24"/>
        </w:rPr>
        <w:t>Dual enrollment students gain early momentum and college preparedness that can provide a smoother transition to full-time college enrollment.  Dual enrollment may influence student success through students experiences of the rigors of college-level coursework, managing academic responsibilities, understanding their role as a college student, and feelings as though they are part of the college. Thus, enabling a smoother transition to college and at higher rates than their academically equal non-dual enrollment counterparts.</w:t>
      </w:r>
    </w:p>
    <w:p w14:paraId="5D157924" w14:textId="15A800FA" w:rsidR="00306CDE" w:rsidRPr="002201EF" w:rsidRDefault="00306CDE" w:rsidP="00306CDE">
      <w:pPr>
        <w:ind w:firstLine="720"/>
        <w:rPr>
          <w:rFonts w:cs="Times New Roman"/>
          <w:color w:val="000000" w:themeColor="text1"/>
          <w:szCs w:val="24"/>
        </w:rPr>
      </w:pPr>
      <w:r w:rsidRPr="002201EF">
        <w:rPr>
          <w:rFonts w:cs="Times New Roman"/>
          <w:color w:val="000000" w:themeColor="text1"/>
          <w:szCs w:val="24"/>
        </w:rPr>
        <w:t xml:space="preserve">Research </w:t>
      </w:r>
      <w:r>
        <w:rPr>
          <w:rFonts w:cs="Times New Roman"/>
          <w:color w:val="000000" w:themeColor="text1"/>
          <w:szCs w:val="24"/>
        </w:rPr>
        <w:t>q</w:t>
      </w:r>
      <w:r w:rsidRPr="002201EF">
        <w:rPr>
          <w:rFonts w:cs="Times New Roman"/>
          <w:color w:val="000000" w:themeColor="text1"/>
          <w:szCs w:val="24"/>
        </w:rPr>
        <w:t xml:space="preserve">uestion 4 </w:t>
      </w:r>
      <w:r>
        <w:rPr>
          <w:rFonts w:cs="Times New Roman"/>
        </w:rPr>
        <w:t>addressed the</w:t>
      </w:r>
      <w:r w:rsidRPr="002201EF">
        <w:rPr>
          <w:rFonts w:cs="Times New Roman"/>
        </w:rPr>
        <w:t xml:space="preserve"> difference in retention rate (</w:t>
      </w:r>
      <w:r>
        <w:rPr>
          <w:rFonts w:cs="Times New Roman"/>
        </w:rPr>
        <w:t>f</w:t>
      </w:r>
      <w:r w:rsidRPr="002201EF">
        <w:rPr>
          <w:rFonts w:cs="Times New Roman"/>
        </w:rPr>
        <w:t xml:space="preserve">all to </w:t>
      </w:r>
      <w:r>
        <w:rPr>
          <w:rFonts w:cs="Times New Roman"/>
        </w:rPr>
        <w:t>s</w:t>
      </w:r>
      <w:r w:rsidRPr="002201EF">
        <w:rPr>
          <w:rFonts w:cs="Times New Roman"/>
        </w:rPr>
        <w:t>pring) between students who took dual enrollment while in high school and those students that did not participate in dual enrollment</w:t>
      </w:r>
      <w:r>
        <w:rPr>
          <w:rFonts w:cs="Times New Roman"/>
        </w:rPr>
        <w:t xml:space="preserve">. The analysis revealed that retention rate (fall to spring) and taking at least one dual enrollment course in high school were significantly </w:t>
      </w:r>
      <w:r w:rsidR="007E4B9D">
        <w:rPr>
          <w:rFonts w:cs="Times New Roman"/>
        </w:rPr>
        <w:t>associated</w:t>
      </w:r>
      <w:r>
        <w:rPr>
          <w:rFonts w:cs="Times New Roman"/>
        </w:rPr>
        <w:t xml:space="preserve">.  </w:t>
      </w:r>
      <w:r>
        <w:rPr>
          <w:rFonts w:cs="Times New Roman"/>
          <w:color w:val="000000" w:themeColor="text1"/>
          <w:szCs w:val="24"/>
        </w:rPr>
        <w:t>Data revealed from f</w:t>
      </w:r>
      <w:r w:rsidRPr="00BA2055">
        <w:rPr>
          <w:rFonts w:cs="Times New Roman"/>
          <w:color w:val="000000" w:themeColor="text1"/>
          <w:szCs w:val="24"/>
        </w:rPr>
        <w:t>indings</w:t>
      </w:r>
      <w:r>
        <w:rPr>
          <w:rFonts w:cs="Times New Roman"/>
          <w:color w:val="000000" w:themeColor="text1"/>
          <w:szCs w:val="24"/>
        </w:rPr>
        <w:t xml:space="preserve"> of Wang et al. (2015)</w:t>
      </w:r>
      <w:r w:rsidRPr="00BA2055">
        <w:rPr>
          <w:rFonts w:cs="Times New Roman"/>
          <w:color w:val="000000" w:themeColor="text1"/>
          <w:szCs w:val="24"/>
        </w:rPr>
        <w:t xml:space="preserve"> imply the possible advantages of dual enrollment participation appear to convert into early academic momentum that support students on their higher education path after they are enrolled in college</w:t>
      </w:r>
      <w:r>
        <w:rPr>
          <w:rFonts w:cs="Times New Roman"/>
          <w:color w:val="000000" w:themeColor="text1"/>
          <w:szCs w:val="24"/>
        </w:rPr>
        <w:t xml:space="preserve">. These findings support Klempin et al., 2025 and research from the National Student Clearinghouse Research Center (2025) in the dual enrollment students had higher persistence and retention rates from fall to spring. </w:t>
      </w:r>
      <w:r>
        <w:rPr>
          <w:rFonts w:cs="Times New Roman"/>
        </w:rPr>
        <w:t>The results of my study contribute to the general consensus revealed in the literature review showing higher fall to spring retention rates for dual enrollment students. Early exposure to college-level work contributes to early momentum of dual enrollment courses.</w:t>
      </w:r>
    </w:p>
    <w:p w14:paraId="606BAB0E" w14:textId="6BCA022A" w:rsidR="00306CDE" w:rsidRPr="00D240A1" w:rsidRDefault="00306CDE" w:rsidP="00D240A1">
      <w:pPr>
        <w:ind w:firstLine="720"/>
        <w:rPr>
          <w:rFonts w:cs="Times New Roman"/>
        </w:rPr>
      </w:pPr>
      <w:bookmarkStart w:id="101" w:name="_Hlk224394329"/>
      <w:r w:rsidRPr="002201EF">
        <w:rPr>
          <w:rFonts w:cs="Times New Roman"/>
          <w:color w:val="000000" w:themeColor="text1"/>
          <w:szCs w:val="24"/>
        </w:rPr>
        <w:t xml:space="preserve">Research </w:t>
      </w:r>
      <w:r>
        <w:rPr>
          <w:rFonts w:cs="Times New Roman"/>
          <w:color w:val="000000" w:themeColor="text1"/>
          <w:szCs w:val="24"/>
        </w:rPr>
        <w:t>q</w:t>
      </w:r>
      <w:r w:rsidRPr="002201EF">
        <w:rPr>
          <w:rFonts w:cs="Times New Roman"/>
          <w:color w:val="000000" w:themeColor="text1"/>
          <w:szCs w:val="24"/>
        </w:rPr>
        <w:t>uestion 5</w:t>
      </w:r>
      <w:r>
        <w:rPr>
          <w:rFonts w:cs="Times New Roman"/>
          <w:color w:val="000000" w:themeColor="text1"/>
          <w:szCs w:val="24"/>
        </w:rPr>
        <w:t xml:space="preserve"> </w:t>
      </w:r>
      <w:r>
        <w:rPr>
          <w:rFonts w:cs="Times New Roman"/>
        </w:rPr>
        <w:t>addressed the</w:t>
      </w:r>
      <w:r w:rsidRPr="002201EF">
        <w:rPr>
          <w:rFonts w:cs="Times New Roman"/>
        </w:rPr>
        <w:t xml:space="preserve"> difference in retention rate (</w:t>
      </w:r>
      <w:r>
        <w:rPr>
          <w:rFonts w:cs="Times New Roman"/>
        </w:rPr>
        <w:t>f</w:t>
      </w:r>
      <w:r w:rsidRPr="002201EF">
        <w:rPr>
          <w:rFonts w:cs="Times New Roman"/>
        </w:rPr>
        <w:t xml:space="preserve">all to </w:t>
      </w:r>
      <w:r>
        <w:rPr>
          <w:rFonts w:cs="Times New Roman"/>
        </w:rPr>
        <w:t>f</w:t>
      </w:r>
      <w:r w:rsidRPr="002201EF">
        <w:rPr>
          <w:rFonts w:cs="Times New Roman"/>
        </w:rPr>
        <w:t>all) between students who took dual enrollment while in high school and those students that did not participate in dual enrollment</w:t>
      </w:r>
      <w:r>
        <w:rPr>
          <w:rFonts w:cs="Times New Roman"/>
        </w:rPr>
        <w:t>. The finding showed there were not</w:t>
      </w:r>
      <w:r>
        <w:rPr>
          <w:rFonts w:cs="Times New Roman"/>
          <w:color w:val="000000" w:themeColor="text1"/>
          <w:szCs w:val="24"/>
        </w:rPr>
        <w:t xml:space="preserve"> significant differences in </w:t>
      </w:r>
      <w:r w:rsidRPr="002201EF">
        <w:rPr>
          <w:rFonts w:cs="Times New Roman"/>
        </w:rPr>
        <w:lastRenderedPageBreak/>
        <w:t>retention rate (</w:t>
      </w:r>
      <w:r>
        <w:rPr>
          <w:rFonts w:cs="Times New Roman"/>
        </w:rPr>
        <w:t>f</w:t>
      </w:r>
      <w:r w:rsidRPr="002201EF">
        <w:rPr>
          <w:rFonts w:cs="Times New Roman"/>
        </w:rPr>
        <w:t xml:space="preserve">all to </w:t>
      </w:r>
      <w:r>
        <w:rPr>
          <w:rFonts w:cs="Times New Roman"/>
        </w:rPr>
        <w:t>f</w:t>
      </w:r>
      <w:r w:rsidRPr="002201EF">
        <w:rPr>
          <w:rFonts w:cs="Times New Roman"/>
        </w:rPr>
        <w:t>all) between students who took dual enrollment</w:t>
      </w:r>
      <w:r>
        <w:rPr>
          <w:rFonts w:cs="Times New Roman"/>
        </w:rPr>
        <w:t xml:space="preserve"> </w:t>
      </w:r>
      <w:r w:rsidRPr="00440C73">
        <w:rPr>
          <w:rFonts w:cs="Times New Roman"/>
        </w:rPr>
        <w:t>while in high school and those students that did not participate in dual enrollment</w:t>
      </w:r>
      <w:r>
        <w:rPr>
          <w:rFonts w:cs="Times New Roman"/>
        </w:rPr>
        <w:t xml:space="preserve">. </w:t>
      </w:r>
      <w:r w:rsidR="00B85774">
        <w:rPr>
          <w:rFonts w:cs="Times New Roman"/>
        </w:rPr>
        <w:t>Participation in dual enrollment may contribute to stronger academic outcomes among academically prepared students</w:t>
      </w:r>
      <w:r w:rsidR="00091402" w:rsidRPr="00494158">
        <w:rPr>
          <w:rFonts w:cs="Times New Roman"/>
        </w:rPr>
        <w:t xml:space="preserve"> </w:t>
      </w:r>
      <w:r w:rsidR="00B85774">
        <w:rPr>
          <w:rFonts w:cs="Times New Roman"/>
        </w:rPr>
        <w:t xml:space="preserve">putting them on </w:t>
      </w:r>
      <w:r w:rsidR="00091402" w:rsidRPr="00494158">
        <w:rPr>
          <w:rFonts w:cs="Times New Roman"/>
        </w:rPr>
        <w:t>a fast-track to degree completion</w:t>
      </w:r>
      <w:r w:rsidR="00494158" w:rsidRPr="00494158">
        <w:rPr>
          <w:rFonts w:cs="Times New Roman"/>
        </w:rPr>
        <w:t xml:space="preserve"> as noted by the </w:t>
      </w:r>
      <w:r w:rsidR="00494158" w:rsidRPr="00494158">
        <w:rPr>
          <w:rFonts w:cs="Times New Roman"/>
          <w:color w:val="000000" w:themeColor="text1"/>
          <w:szCs w:val="24"/>
        </w:rPr>
        <w:t>American Association of Community Colleges (2019), Dannenberg &amp; Hyslop (2019), and Knox (2022)</w:t>
      </w:r>
      <w:r w:rsidR="00091402" w:rsidRPr="00494158">
        <w:rPr>
          <w:rFonts w:cs="Times New Roman"/>
        </w:rPr>
        <w:t>. Exposure to the rigors</w:t>
      </w:r>
      <w:r w:rsidR="00091402">
        <w:rPr>
          <w:rFonts w:cs="Times New Roman"/>
        </w:rPr>
        <w:t xml:space="preserve"> of college-level work can increase the academic preparation and advancement of skills thus increasing the ability to navigate the rigors of higher education making a more confident transition to college. </w:t>
      </w:r>
      <w:r w:rsidR="00DA0A18" w:rsidRPr="00B85774">
        <w:rPr>
          <w:rFonts w:cs="Times New Roman"/>
        </w:rPr>
        <w:t>Unlike prior studies,</w:t>
      </w:r>
      <w:r w:rsidR="00B85774" w:rsidRPr="00B85774">
        <w:rPr>
          <w:rFonts w:cs="Times New Roman"/>
        </w:rPr>
        <w:t xml:space="preserve"> such as </w:t>
      </w:r>
      <w:r w:rsidR="00B85774" w:rsidRPr="00B85774">
        <w:rPr>
          <w:rFonts w:cs="Times New Roman"/>
          <w:color w:val="000000" w:themeColor="text1"/>
          <w:szCs w:val="24"/>
        </w:rPr>
        <w:t>Klempin et al. (2025) and the National Student Clearinghouse Research Center (2025)</w:t>
      </w:r>
      <w:r w:rsidR="00DA0A18" w:rsidRPr="00B85774">
        <w:rPr>
          <w:rFonts w:cs="Times New Roman"/>
        </w:rPr>
        <w:t>, the analysis did not reveal a statistically significant difference in fall-to-fall retention between dual enrollment and non-dual enrollment students. One possible explanation is that academically prepared students who participated in dual enrollment may have accumulated sufficient credits during their first year to transfer to four-year institutions earlier than their peers. In this case, students may not appear in fall-to-fall retention statistics at the community college even though they continued their education elsewhere. Future research examining transfer patterns may help clarify whether accelerated credit accumulation contributes to this outcome.</w:t>
      </w:r>
      <w:r w:rsidR="00B85774" w:rsidRPr="00B85774">
        <w:rPr>
          <w:rFonts w:cs="Times New Roman"/>
        </w:rPr>
        <w:t xml:space="preserve"> </w:t>
      </w:r>
      <w:r w:rsidR="00F6594C" w:rsidRPr="00B85774">
        <w:rPr>
          <w:rFonts w:cs="Times New Roman"/>
          <w:color w:val="000000" w:themeColor="text1"/>
          <w:szCs w:val="24"/>
        </w:rPr>
        <w:t>While</w:t>
      </w:r>
      <w:r w:rsidR="00F6594C">
        <w:rPr>
          <w:rFonts w:cs="Times New Roman"/>
          <w:color w:val="000000" w:themeColor="text1"/>
          <w:szCs w:val="24"/>
        </w:rPr>
        <w:t xml:space="preserve"> current literature reports an increase in second year retention rates, m</w:t>
      </w:r>
      <w:r>
        <w:rPr>
          <w:rFonts w:cs="Times New Roman"/>
          <w:color w:val="000000" w:themeColor="text1"/>
          <w:szCs w:val="24"/>
        </w:rPr>
        <w:t>y research brings institutional specific data</w:t>
      </w:r>
      <w:r w:rsidR="00F6594C" w:rsidRPr="00F6594C">
        <w:rPr>
          <w:rFonts w:cs="Times New Roman"/>
        </w:rPr>
        <w:t xml:space="preserve"> </w:t>
      </w:r>
      <w:r w:rsidR="00F6594C">
        <w:rPr>
          <w:rFonts w:cs="Times New Roman"/>
        </w:rPr>
        <w:t>exploring an even playing field of academically similar students.</w:t>
      </w:r>
      <w:r>
        <w:rPr>
          <w:rFonts w:cs="Times New Roman"/>
          <w:color w:val="000000" w:themeColor="text1"/>
          <w:szCs w:val="24"/>
        </w:rPr>
        <w:t xml:space="preserve"> </w:t>
      </w:r>
      <w:r w:rsidR="00F6594C">
        <w:rPr>
          <w:rFonts w:cs="Times New Roman"/>
          <w:color w:val="000000" w:themeColor="text1"/>
          <w:szCs w:val="24"/>
        </w:rPr>
        <w:t>This</w:t>
      </w:r>
      <w:r>
        <w:rPr>
          <w:rFonts w:cs="Times New Roman"/>
          <w:color w:val="000000" w:themeColor="text1"/>
          <w:szCs w:val="24"/>
        </w:rPr>
        <w:t xml:space="preserve"> may help community colleges evaluate second year retention data to make more informed decisions on retention and advising for greater student success.</w:t>
      </w:r>
      <w:r>
        <w:rPr>
          <w:rFonts w:cs="Times New Roman"/>
        </w:rPr>
        <w:t xml:space="preserve"> </w:t>
      </w:r>
    </w:p>
    <w:bookmarkEnd w:id="101"/>
    <w:p w14:paraId="1D8E1C1E" w14:textId="691D77BD" w:rsidR="00306CDE" w:rsidRPr="002201EF" w:rsidRDefault="00306CDE" w:rsidP="00306CDE">
      <w:pPr>
        <w:ind w:firstLine="720"/>
        <w:rPr>
          <w:rFonts w:cs="Times New Roman"/>
          <w:color w:val="000000" w:themeColor="text1"/>
          <w:szCs w:val="24"/>
        </w:rPr>
      </w:pPr>
      <w:r w:rsidRPr="00B62264">
        <w:rPr>
          <w:rFonts w:cs="Times New Roman"/>
          <w:color w:val="000000" w:themeColor="text1"/>
          <w:szCs w:val="24"/>
        </w:rPr>
        <w:t xml:space="preserve">Research question 6 addressed the </w:t>
      </w:r>
      <w:r w:rsidRPr="00B62264">
        <w:rPr>
          <w:rFonts w:cs="Times New Roman"/>
        </w:rPr>
        <w:t xml:space="preserve">relationship between earning 30 or more semester credits during their first year of enrollment </w:t>
      </w:r>
      <w:r w:rsidR="00A2482B">
        <w:rPr>
          <w:rFonts w:cs="Times New Roman"/>
        </w:rPr>
        <w:t>between dual enrollment status and non-dual enrollment status</w:t>
      </w:r>
      <w:r w:rsidRPr="00B62264">
        <w:rPr>
          <w:rFonts w:cs="Times New Roman"/>
        </w:rPr>
        <w:t xml:space="preserve">. The analysis revealed that </w:t>
      </w:r>
      <w:r w:rsidRPr="00B62264">
        <w:rPr>
          <w:rFonts w:cs="Times New Roman"/>
          <w:color w:val="000000" w:themeColor="text1"/>
          <w:szCs w:val="24"/>
        </w:rPr>
        <w:t xml:space="preserve">the </w:t>
      </w:r>
      <w:r w:rsidRPr="00B62264">
        <w:rPr>
          <w:rFonts w:cs="Times New Roman"/>
        </w:rPr>
        <w:t xml:space="preserve">relationship between earning 30 or more semester credits during their first year of enrollment and dual enrollment status were </w:t>
      </w:r>
      <w:r w:rsidRPr="00B62264">
        <w:rPr>
          <w:rFonts w:cs="Times New Roman"/>
        </w:rPr>
        <w:lastRenderedPageBreak/>
        <w:t xml:space="preserve">significantly </w:t>
      </w:r>
      <w:r w:rsidR="0044511D">
        <w:rPr>
          <w:rFonts w:cs="Times New Roman"/>
        </w:rPr>
        <w:t>associated</w:t>
      </w:r>
      <w:r w:rsidRPr="00B62264">
        <w:rPr>
          <w:rFonts w:cs="Times New Roman"/>
        </w:rPr>
        <w:t xml:space="preserve">. </w:t>
      </w:r>
      <w:r w:rsidRPr="00B62264">
        <w:rPr>
          <w:rFonts w:cs="Times New Roman"/>
          <w:szCs w:val="24"/>
        </w:rPr>
        <w:t xml:space="preserve">Students who took dual enrollment were significantly more likely to </w:t>
      </w:r>
      <w:r w:rsidRPr="00B62264">
        <w:rPr>
          <w:rFonts w:cs="Times New Roman"/>
        </w:rPr>
        <w:t>earn 30 or more semester credits during their first year of enrollment compared to their non-dual enrollment counterparts</w:t>
      </w:r>
      <w:r w:rsidRPr="00B62264">
        <w:rPr>
          <w:rFonts w:cs="Times New Roman"/>
          <w:szCs w:val="24"/>
        </w:rPr>
        <w:t xml:space="preserve">. The results can contribute to the literature about early momentum metrics dual enrollment students with a head start </w:t>
      </w:r>
      <w:r w:rsidR="00514EFD">
        <w:rPr>
          <w:rFonts w:cs="Times New Roman"/>
          <w:szCs w:val="24"/>
        </w:rPr>
        <w:t>is associated</w:t>
      </w:r>
      <w:r w:rsidRPr="00B62264">
        <w:rPr>
          <w:rFonts w:cs="Times New Roman"/>
          <w:szCs w:val="24"/>
        </w:rPr>
        <w:t xml:space="preserve"> </w:t>
      </w:r>
      <w:r w:rsidR="00514EFD">
        <w:rPr>
          <w:rFonts w:cs="Times New Roman"/>
          <w:szCs w:val="24"/>
        </w:rPr>
        <w:t>with</w:t>
      </w:r>
      <w:r w:rsidRPr="00B62264">
        <w:rPr>
          <w:rFonts w:cs="Times New Roman"/>
          <w:szCs w:val="24"/>
        </w:rPr>
        <w:t xml:space="preserve"> increased graduation rates.</w:t>
      </w:r>
      <w:r w:rsidR="00B62264" w:rsidRPr="00B62264">
        <w:rPr>
          <w:rFonts w:cs="Times New Roman"/>
          <w:szCs w:val="24"/>
        </w:rPr>
        <w:t xml:space="preserve"> These findings support </w:t>
      </w:r>
      <w:r w:rsidR="00B62264" w:rsidRPr="00B62264">
        <w:rPr>
          <w:rFonts w:eastAsia="Times New Roman" w:cs="Times New Roman"/>
          <w:color w:val="000000" w:themeColor="text1"/>
          <w:szCs w:val="24"/>
        </w:rPr>
        <w:t xml:space="preserve">Grub et al. (2017) that dual enrollment has been shown to benefit students at the community college level in that participants tended to avoid remediation and experience a higher rate of timely completion. </w:t>
      </w:r>
      <w:r w:rsidRPr="00B62264">
        <w:rPr>
          <w:rFonts w:cs="Times New Roman"/>
          <w:szCs w:val="24"/>
        </w:rPr>
        <w:t xml:space="preserve"> The results support </w:t>
      </w:r>
      <w:r w:rsidRPr="00B62264">
        <w:rPr>
          <w:rFonts w:cs="Times New Roman"/>
          <w:color w:val="000000" w:themeColor="text1"/>
          <w:szCs w:val="24"/>
        </w:rPr>
        <w:t xml:space="preserve">Karp and Hughes’ (2008) findings provided a “promising picture” of dual enrollment as an encouraging strategy for student access and </w:t>
      </w:r>
      <w:r w:rsidR="00B62264" w:rsidRPr="00B62264">
        <w:rPr>
          <w:rFonts w:cs="Times New Roman"/>
          <w:color w:val="000000" w:themeColor="text1"/>
          <w:szCs w:val="24"/>
        </w:rPr>
        <w:t xml:space="preserve">Irwin (2018) dual enrollment student </w:t>
      </w:r>
      <w:r w:rsidRPr="00B62264">
        <w:rPr>
          <w:rFonts w:cs="Times New Roman"/>
          <w:color w:val="000000" w:themeColor="text1"/>
          <w:szCs w:val="24"/>
        </w:rPr>
        <w:t>persistence in postsecondary education</w:t>
      </w:r>
      <w:r w:rsidR="00B62264" w:rsidRPr="00B62264">
        <w:rPr>
          <w:rFonts w:cs="Times New Roman"/>
          <w:color w:val="000000" w:themeColor="text1"/>
          <w:szCs w:val="24"/>
        </w:rPr>
        <w:t xml:space="preserve"> contributing to greater college degree completion</w:t>
      </w:r>
      <w:r w:rsidRPr="00B62264">
        <w:rPr>
          <w:rFonts w:cs="Times New Roman"/>
          <w:color w:val="000000" w:themeColor="text1"/>
          <w:szCs w:val="24"/>
        </w:rPr>
        <w:t xml:space="preserve">. </w:t>
      </w:r>
      <w:r w:rsidRPr="00B62264">
        <w:rPr>
          <w:rFonts w:cs="Times New Roman"/>
          <w:szCs w:val="24"/>
        </w:rPr>
        <w:t xml:space="preserve">With </w:t>
      </w:r>
      <w:r w:rsidRPr="00B62264">
        <w:rPr>
          <w:rFonts w:eastAsia="Times New Roman" w:cs="Times New Roman"/>
          <w:color w:val="000000" w:themeColor="text1"/>
          <w:spacing w:val="3"/>
          <w:szCs w:val="24"/>
        </w:rPr>
        <w:t>approximately 70% of dual enrollment courses offered through community colleges (CCRC, 2024), dual enrollment is beneficial for community college enrollment and</w:t>
      </w:r>
      <w:r>
        <w:rPr>
          <w:rFonts w:eastAsia="Times New Roman" w:cs="Times New Roman"/>
          <w:color w:val="000000" w:themeColor="text1"/>
          <w:spacing w:val="3"/>
          <w:szCs w:val="24"/>
        </w:rPr>
        <w:t xml:space="preserve"> supports student success through access to college credits while in high school, giving them a head start, less financial debt for dual enrollment qualifiers, and a shorter time to college degree completion.  </w:t>
      </w:r>
    </w:p>
    <w:p w14:paraId="6FD9712E" w14:textId="151EF3F2" w:rsidR="00306CDE" w:rsidRDefault="00306CDE" w:rsidP="00306CDE">
      <w:pPr>
        <w:ind w:firstLine="720"/>
        <w:rPr>
          <w:rFonts w:cs="Times New Roman"/>
        </w:rPr>
      </w:pPr>
      <w:r w:rsidRPr="002201EF">
        <w:rPr>
          <w:rFonts w:cs="Times New Roman"/>
          <w:color w:val="000000" w:themeColor="text1"/>
          <w:szCs w:val="24"/>
        </w:rPr>
        <w:t xml:space="preserve">Research </w:t>
      </w:r>
      <w:r>
        <w:rPr>
          <w:rFonts w:cs="Times New Roman"/>
          <w:color w:val="000000" w:themeColor="text1"/>
          <w:szCs w:val="24"/>
        </w:rPr>
        <w:t>q</w:t>
      </w:r>
      <w:r w:rsidRPr="002201EF">
        <w:rPr>
          <w:rFonts w:cs="Times New Roman"/>
          <w:color w:val="000000" w:themeColor="text1"/>
          <w:szCs w:val="24"/>
        </w:rPr>
        <w:t xml:space="preserve">uestion </w:t>
      </w:r>
      <w:r>
        <w:rPr>
          <w:rFonts w:cs="Times New Roman"/>
          <w:color w:val="000000" w:themeColor="text1"/>
          <w:szCs w:val="24"/>
        </w:rPr>
        <w:t>7</w:t>
      </w:r>
      <w:r>
        <w:rPr>
          <w:rFonts w:cs="Times New Roman"/>
        </w:rPr>
        <w:t xml:space="preserve">, I compared the </w:t>
      </w:r>
      <w:r w:rsidRPr="002201EF">
        <w:rPr>
          <w:rFonts w:cs="Times New Roman"/>
        </w:rPr>
        <w:t>difference in the number of academic credits earned at the end of their freshman year between students that participated in dual enrollment and students that did not participate in dual enrollment</w:t>
      </w:r>
      <w:r w:rsidR="003E2AD6">
        <w:rPr>
          <w:rFonts w:cs="Times New Roman"/>
        </w:rPr>
        <w:t xml:space="preserve"> while in high school</w:t>
      </w:r>
      <w:r>
        <w:rPr>
          <w:rFonts w:cs="Times New Roman"/>
        </w:rPr>
        <w:t xml:space="preserve">. The analysis revealed that </w:t>
      </w:r>
      <w:r>
        <w:rPr>
          <w:rFonts w:cs="Times New Roman"/>
          <w:color w:val="000000" w:themeColor="text1"/>
          <w:szCs w:val="24"/>
        </w:rPr>
        <w:t xml:space="preserve">the </w:t>
      </w:r>
      <w:r w:rsidRPr="002201EF">
        <w:rPr>
          <w:rFonts w:cs="Times New Roman"/>
        </w:rPr>
        <w:t>relationship between the number of academic credits earned at the end of their freshman year and dual enrollment</w:t>
      </w:r>
      <w:r>
        <w:rPr>
          <w:rFonts w:cs="Times New Roman"/>
        </w:rPr>
        <w:t xml:space="preserve"> status were significantly </w:t>
      </w:r>
      <w:r w:rsidR="00472EDF">
        <w:rPr>
          <w:rFonts w:cs="Times New Roman"/>
        </w:rPr>
        <w:t>associated</w:t>
      </w:r>
      <w:r>
        <w:rPr>
          <w:rFonts w:cs="Times New Roman"/>
        </w:rPr>
        <w:t xml:space="preserve">. Students who participated in dual enrollment were more likely to have a higher number of academic credits earned at the end of their freshman year than their non-dual enrollment peers. </w:t>
      </w:r>
      <w:r>
        <w:rPr>
          <w:rFonts w:cs="Times New Roman"/>
          <w:color w:val="000000" w:themeColor="text1"/>
          <w:spacing w:val="3"/>
          <w:szCs w:val="24"/>
        </w:rPr>
        <w:t xml:space="preserve">In general, students in the dual enrollment group had a significantly higher number of academic credits earned at the end of year one with an average of 36.12 compared with the non-dual enrollment students’ number </w:t>
      </w:r>
      <w:r>
        <w:rPr>
          <w:rFonts w:cs="Times New Roman"/>
          <w:color w:val="000000" w:themeColor="text1"/>
          <w:spacing w:val="3"/>
          <w:szCs w:val="24"/>
        </w:rPr>
        <w:lastRenderedPageBreak/>
        <w:t xml:space="preserve">of academic credits earned at the end of year one average of 27.14. </w:t>
      </w:r>
      <w:r>
        <w:rPr>
          <w:rFonts w:cs="Times New Roman"/>
        </w:rPr>
        <w:t xml:space="preserve">The results support Schaller et al. (2025) research of dual enrollment benefits of total earned credits for dual enrollment students. These results align with the </w:t>
      </w:r>
      <w:r>
        <w:rPr>
          <w:rFonts w:cs="Times New Roman"/>
          <w:color w:val="000000" w:themeColor="text1"/>
          <w:szCs w:val="24"/>
        </w:rPr>
        <w:t xml:space="preserve">Xu et al. (2021) that dual enrollment gives students a head start toward student success. </w:t>
      </w:r>
      <w:r>
        <w:rPr>
          <w:rFonts w:cs="Times New Roman"/>
        </w:rPr>
        <w:t xml:space="preserve">The results of my study contribute to the results revealed in the literature review showing higher </w:t>
      </w:r>
      <w:r w:rsidRPr="002201EF">
        <w:rPr>
          <w:rFonts w:cs="Times New Roman"/>
        </w:rPr>
        <w:t xml:space="preserve">number of academic credits earned </w:t>
      </w:r>
      <w:r>
        <w:rPr>
          <w:rFonts w:cs="Times New Roman"/>
        </w:rPr>
        <w:t xml:space="preserve">for dual enrollment students. Dual enrollment is proven to give students an academic head start enabling students to accumulate college credits early. </w:t>
      </w:r>
    </w:p>
    <w:p w14:paraId="1283EF23" w14:textId="6D4998EB" w:rsidR="00533C3E" w:rsidRDefault="00533C3E" w:rsidP="00533C3E">
      <w:r>
        <w:rPr>
          <w:rFonts w:cs="Times New Roman"/>
        </w:rPr>
        <w:tab/>
      </w:r>
      <w:r>
        <w:t>The findings in this study indicate there is a significant relationship between taking dual enrollment and educational outcomes.</w:t>
      </w:r>
      <w:r w:rsidR="00654881">
        <w:t xml:space="preserve"> Students who participated in dual enrollment were more likely to </w:t>
      </w:r>
      <w:r w:rsidR="00654881">
        <w:rPr>
          <w:rFonts w:cs="Times New Roman"/>
        </w:rPr>
        <w:t xml:space="preserve">graduate within 3 years (150%), have higher end of year one GPAs, have full-time enrollment, have greater retention rates with the exception of fall to fall, and obtain higher academic credits. </w:t>
      </w:r>
      <w:r w:rsidR="00654881">
        <w:t xml:space="preserve">  </w:t>
      </w:r>
    </w:p>
    <w:p w14:paraId="3B7C55A6" w14:textId="29FEA978" w:rsidR="005E57B8" w:rsidRDefault="005E57B8" w:rsidP="00533C3E">
      <w:pPr>
        <w:rPr>
          <w:rFonts w:cs="Times New Roman"/>
        </w:rPr>
      </w:pPr>
      <w:r>
        <w:tab/>
        <w:t>The findings can also be interpreted through the lens of Sch</w:t>
      </w:r>
      <w:r w:rsidR="00B95363">
        <w:t>loss</w:t>
      </w:r>
      <w:r>
        <w:t xml:space="preserve">berg’s Transition Theory, which emphasizes the importance of support, preparation, and coping strategies during major life transitions. Dual enrollment may function as a </w:t>
      </w:r>
      <w:r w:rsidR="00B95363">
        <w:t>transitional</w:t>
      </w:r>
      <w:r>
        <w:t xml:space="preserve"> bridge that allows students to begin navigating the expectations of postsecondary education while still in the structured</w:t>
      </w:r>
      <w:r w:rsidR="00B95363">
        <w:t xml:space="preserve"> environment of high school. Through this early exposure, students may develop familiarity with college coursework, academic expectations, and institutional structures, which may help ease the transition into full-time college enrollment.</w:t>
      </w:r>
    </w:p>
    <w:p w14:paraId="03D7DA17" w14:textId="77777777" w:rsidR="00306CDE" w:rsidRPr="00C063AA" w:rsidRDefault="00306CDE" w:rsidP="00306CDE">
      <w:pPr>
        <w:pStyle w:val="Heading3"/>
        <w:rPr>
          <w:rFonts w:cs="Times New Roman"/>
        </w:rPr>
      </w:pPr>
      <w:bookmarkStart w:id="102" w:name="_Toc224458920"/>
      <w:r>
        <w:rPr>
          <w:rFonts w:cs="Times New Roman"/>
        </w:rPr>
        <w:t>Recommendations for Practice</w:t>
      </w:r>
      <w:bookmarkEnd w:id="102"/>
    </w:p>
    <w:p w14:paraId="0AD658E2" w14:textId="77777777" w:rsidR="00306CDE" w:rsidRDefault="00306CDE" w:rsidP="00306CDE">
      <w:pPr>
        <w:rPr>
          <w:rFonts w:cs="Times New Roman"/>
          <w:color w:val="000000" w:themeColor="text1"/>
          <w:spacing w:val="3"/>
          <w:szCs w:val="24"/>
        </w:rPr>
      </w:pPr>
      <w:r>
        <w:tab/>
        <w:t xml:space="preserve">This study and its findings </w:t>
      </w:r>
      <w:r>
        <w:rPr>
          <w:rFonts w:cs="Times New Roman"/>
          <w:color w:val="000000" w:themeColor="text1"/>
          <w:spacing w:val="3"/>
          <w:szCs w:val="24"/>
        </w:rPr>
        <w:t xml:space="preserve">may contribute to a better understanding of the effectiveness of dual enrollment as a strategy to support timely degree completion, inform institutional practices, and policy decisions related to early postsecondary opportunities. Based on the </w:t>
      </w:r>
      <w:r>
        <w:rPr>
          <w:rFonts w:cs="Times New Roman"/>
          <w:color w:val="000000" w:themeColor="text1"/>
          <w:spacing w:val="3"/>
          <w:szCs w:val="24"/>
        </w:rPr>
        <w:lastRenderedPageBreak/>
        <w:t xml:space="preserve">findings of this research and the relationship between dual enrollment and graduation at a community college, the following are my recommendations for practice: </w:t>
      </w:r>
    </w:p>
    <w:p w14:paraId="5C1C963D" w14:textId="1592ABB8" w:rsidR="00306CDE" w:rsidRPr="00EC75CA" w:rsidRDefault="007E3B6F"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Because a substantial number of academically eligible students in the study did not participate in dual enrollment, community colleges should expand outreach efforts to inform eligible high school students about available dual enrollment opportunities. Increasing awareness and participation may help extend the academic momentum benefits identified in this study</w:t>
      </w:r>
      <w:r w:rsidR="00306CDE" w:rsidRPr="00840F52">
        <w:rPr>
          <w:color w:val="242424"/>
          <w:bdr w:val="none" w:sz="0" w:space="0" w:color="auto" w:frame="1"/>
        </w:rPr>
        <w:t xml:space="preserve">. </w:t>
      </w:r>
    </w:p>
    <w:p w14:paraId="4FBC8E95" w14:textId="77777777" w:rsidR="00306CDE" w:rsidRPr="004A0BF1" w:rsidRDefault="00306CDE"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Community colleges should e</w:t>
      </w:r>
      <w:r w:rsidRPr="00840F52">
        <w:rPr>
          <w:color w:val="242424"/>
          <w:bdr w:val="none" w:sz="0" w:space="0" w:color="auto" w:frame="1"/>
        </w:rPr>
        <w:t>ncourage second-year dual enrollment students who did not return to the community college to consider reverse-transferring credits to earn a community college associate degree thus benefitting students and the community college.</w:t>
      </w:r>
    </w:p>
    <w:p w14:paraId="0FB6BD9A" w14:textId="294ADD0B" w:rsidR="00306CDE" w:rsidRPr="00315481" w:rsidRDefault="008B7915"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Community Colleges should e</w:t>
      </w:r>
      <w:r w:rsidR="00306CDE">
        <w:rPr>
          <w:color w:val="242424"/>
          <w:bdr w:val="none" w:sz="0" w:space="0" w:color="auto" w:frame="1"/>
        </w:rPr>
        <w:t>valuate course modalit</w:t>
      </w:r>
      <w:r>
        <w:rPr>
          <w:color w:val="242424"/>
          <w:bdr w:val="none" w:sz="0" w:space="0" w:color="auto" w:frame="1"/>
        </w:rPr>
        <w:t>y patterns among dual enrollment participants to determine whether specific instructional formats contribute to stronger retention into the second year.</w:t>
      </w:r>
      <w:r w:rsidR="00306CDE">
        <w:rPr>
          <w:color w:val="242424"/>
          <w:bdr w:val="none" w:sz="0" w:space="0" w:color="auto" w:frame="1"/>
        </w:rPr>
        <w:t xml:space="preserve"> </w:t>
      </w:r>
    </w:p>
    <w:p w14:paraId="70947DC1" w14:textId="2C55C002" w:rsidR="00306CDE" w:rsidRPr="00315481" w:rsidRDefault="00B76567"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Community colleges should s</w:t>
      </w:r>
      <w:r w:rsidR="00306CDE">
        <w:rPr>
          <w:color w:val="242424"/>
          <w:bdr w:val="none" w:sz="0" w:space="0" w:color="auto" w:frame="1"/>
        </w:rPr>
        <w:t>trengthen advising pathways and support services that help dual enrollment students transition into full-time enrollment after high school.</w:t>
      </w:r>
    </w:p>
    <w:p w14:paraId="0BA959E4" w14:textId="77777777" w:rsidR="00306CDE" w:rsidRPr="00315481" w:rsidRDefault="00306CDE"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Provide greater access to dual enrollment throughout the service areas of community colleges.</w:t>
      </w:r>
    </w:p>
    <w:p w14:paraId="7AEA2E35" w14:textId="77777777" w:rsidR="00306CDE" w:rsidRPr="00840F52" w:rsidRDefault="00306CDE" w:rsidP="00306CDE">
      <w:pPr>
        <w:pStyle w:val="xmsonormal"/>
        <w:numPr>
          <w:ilvl w:val="0"/>
          <w:numId w:val="6"/>
        </w:numPr>
        <w:shd w:val="clear" w:color="auto" w:fill="FFFFFF"/>
        <w:spacing w:before="0" w:beforeAutospacing="0" w:after="0" w:afterAutospacing="0" w:line="480" w:lineRule="auto"/>
        <w:rPr>
          <w:color w:val="242424"/>
        </w:rPr>
      </w:pPr>
      <w:r>
        <w:rPr>
          <w:color w:val="242424"/>
          <w:bdr w:val="none" w:sz="0" w:space="0" w:color="auto" w:frame="1"/>
        </w:rPr>
        <w:t>Evaluate data frequently for student-focused dual enrollment decisions at the community college.</w:t>
      </w:r>
    </w:p>
    <w:p w14:paraId="04FB91CE" w14:textId="77777777" w:rsidR="00306CDE" w:rsidRDefault="00306CDE" w:rsidP="00306CDE">
      <w:pPr>
        <w:pStyle w:val="Heading3"/>
        <w:rPr>
          <w:rFonts w:cs="Times New Roman"/>
        </w:rPr>
      </w:pPr>
      <w:bookmarkStart w:id="103" w:name="_Toc224458921"/>
      <w:r>
        <w:rPr>
          <w:rFonts w:cs="Times New Roman"/>
        </w:rPr>
        <w:t>Recommendations for Policy</w:t>
      </w:r>
      <w:bookmarkEnd w:id="103"/>
    </w:p>
    <w:p w14:paraId="42154AB3" w14:textId="2218500C" w:rsidR="00306CDE" w:rsidRDefault="00306CDE" w:rsidP="00306CDE">
      <w:pPr>
        <w:rPr>
          <w:rFonts w:cs="Times New Roman"/>
          <w:color w:val="000000" w:themeColor="text1"/>
          <w:spacing w:val="3"/>
          <w:szCs w:val="24"/>
        </w:rPr>
      </w:pPr>
      <w:r>
        <w:rPr>
          <w:rFonts w:cs="Times New Roman"/>
          <w:color w:val="000000" w:themeColor="text1"/>
          <w:spacing w:val="3"/>
          <w:szCs w:val="24"/>
        </w:rPr>
        <w:tab/>
        <w:t xml:space="preserve">Results of this study provide </w:t>
      </w:r>
      <w:r w:rsidR="00B96D26">
        <w:rPr>
          <w:rFonts w:cs="Times New Roman"/>
          <w:color w:val="000000" w:themeColor="text1"/>
          <w:spacing w:val="3"/>
          <w:szCs w:val="24"/>
        </w:rPr>
        <w:t xml:space="preserve">evidence of a significant </w:t>
      </w:r>
      <w:r>
        <w:rPr>
          <w:rFonts w:cs="Times New Roman"/>
          <w:color w:val="000000" w:themeColor="text1"/>
          <w:spacing w:val="3"/>
          <w:szCs w:val="24"/>
        </w:rPr>
        <w:t>relationship between dual enrollment</w:t>
      </w:r>
      <w:r w:rsidR="00B96D26">
        <w:rPr>
          <w:rFonts w:cs="Times New Roman"/>
          <w:color w:val="000000" w:themeColor="text1"/>
          <w:spacing w:val="3"/>
          <w:szCs w:val="24"/>
        </w:rPr>
        <w:t xml:space="preserve"> participation</w:t>
      </w:r>
      <w:r>
        <w:rPr>
          <w:rFonts w:cs="Times New Roman"/>
          <w:color w:val="000000" w:themeColor="text1"/>
          <w:spacing w:val="3"/>
          <w:szCs w:val="24"/>
        </w:rPr>
        <w:t xml:space="preserve"> and community college completion rates</w:t>
      </w:r>
      <w:r w:rsidR="00B96D26">
        <w:rPr>
          <w:rFonts w:cs="Times New Roman"/>
          <w:color w:val="000000" w:themeColor="text1"/>
          <w:spacing w:val="3"/>
          <w:szCs w:val="24"/>
        </w:rPr>
        <w:t xml:space="preserve">, suggesting that dual </w:t>
      </w:r>
      <w:r w:rsidR="00B96D26">
        <w:rPr>
          <w:rFonts w:cs="Times New Roman"/>
          <w:color w:val="000000" w:themeColor="text1"/>
          <w:spacing w:val="3"/>
          <w:szCs w:val="24"/>
        </w:rPr>
        <w:lastRenderedPageBreak/>
        <w:t>enrollment programs may serve as an important pathway for supporting student success</w:t>
      </w:r>
      <w:r>
        <w:rPr>
          <w:rFonts w:cs="Times New Roman"/>
          <w:color w:val="000000" w:themeColor="text1"/>
          <w:spacing w:val="3"/>
          <w:szCs w:val="24"/>
        </w:rPr>
        <w:t xml:space="preserve">.  </w:t>
      </w:r>
      <w:r w:rsidR="00CF136A">
        <w:rPr>
          <w:rFonts w:cs="Times New Roman"/>
          <w:color w:val="000000" w:themeColor="text1"/>
          <w:spacing w:val="3"/>
          <w:szCs w:val="24"/>
        </w:rPr>
        <w:t xml:space="preserve">Expanding equitable access to dual enrollment programs is particularly important because prior research has shown that historically underrepresented students often face barriers to participation despite potentially benefiting the most from early exposure to college coursework. </w:t>
      </w:r>
      <w:r>
        <w:rPr>
          <w:rFonts w:cs="Times New Roman"/>
          <w:color w:val="000000" w:themeColor="text1"/>
          <w:spacing w:val="3"/>
          <w:szCs w:val="24"/>
        </w:rPr>
        <w:t xml:space="preserve">With student success as the focus and building blocks of many institutions as well as my research of significant relationships between dual enrollment and student success, </w:t>
      </w:r>
      <w:r>
        <w:t>the following are recommendations</w:t>
      </w:r>
      <w:r>
        <w:rPr>
          <w:rFonts w:cs="Times New Roman"/>
          <w:color w:val="000000" w:themeColor="text1"/>
          <w:spacing w:val="3"/>
          <w:szCs w:val="24"/>
        </w:rPr>
        <w:t xml:space="preserve"> for policy:</w:t>
      </w:r>
    </w:p>
    <w:p w14:paraId="45DF9E14" w14:textId="237142A7" w:rsidR="00306CDE" w:rsidRDefault="00306CDE" w:rsidP="00306CDE">
      <w:pPr>
        <w:pStyle w:val="ListParagraph"/>
        <w:numPr>
          <w:ilvl w:val="0"/>
          <w:numId w:val="8"/>
        </w:numPr>
        <w:rPr>
          <w:rFonts w:cs="Times New Roman"/>
          <w:color w:val="000000" w:themeColor="text1"/>
          <w:spacing w:val="3"/>
          <w:szCs w:val="24"/>
        </w:rPr>
      </w:pPr>
      <w:r w:rsidRPr="000D69D7">
        <w:rPr>
          <w:rFonts w:cs="Times New Roman"/>
          <w:color w:val="000000" w:themeColor="text1"/>
          <w:spacing w:val="3"/>
          <w:szCs w:val="24"/>
        </w:rPr>
        <w:t>Increase equitable access</w:t>
      </w:r>
      <w:r>
        <w:rPr>
          <w:rFonts w:cs="Times New Roman"/>
          <w:color w:val="000000" w:themeColor="text1"/>
          <w:spacing w:val="3"/>
          <w:szCs w:val="24"/>
        </w:rPr>
        <w:t xml:space="preserve"> to dual enrollment</w:t>
      </w:r>
      <w:r w:rsidRPr="000D69D7">
        <w:rPr>
          <w:rFonts w:cs="Times New Roman"/>
          <w:color w:val="000000" w:themeColor="text1"/>
          <w:spacing w:val="3"/>
          <w:szCs w:val="24"/>
        </w:rPr>
        <w:t xml:space="preserve"> </w:t>
      </w:r>
      <w:r w:rsidR="0005157A">
        <w:rPr>
          <w:rFonts w:cs="Times New Roman"/>
          <w:color w:val="000000" w:themeColor="text1"/>
          <w:spacing w:val="3"/>
          <w:szCs w:val="24"/>
        </w:rPr>
        <w:t>by removing informational, academic, and financial barriers for underrepresented students.</w:t>
      </w:r>
    </w:p>
    <w:p w14:paraId="2EC03212" w14:textId="77777777" w:rsidR="00306CDE" w:rsidRDefault="00306CDE" w:rsidP="00306CDE">
      <w:pPr>
        <w:pStyle w:val="ListParagraph"/>
        <w:numPr>
          <w:ilvl w:val="0"/>
          <w:numId w:val="8"/>
        </w:numPr>
        <w:rPr>
          <w:rFonts w:cs="Times New Roman"/>
          <w:color w:val="000000" w:themeColor="text1"/>
          <w:spacing w:val="3"/>
          <w:szCs w:val="24"/>
        </w:rPr>
      </w:pPr>
      <w:r>
        <w:rPr>
          <w:rFonts w:cs="Times New Roman"/>
          <w:color w:val="000000" w:themeColor="text1"/>
          <w:spacing w:val="3"/>
          <w:szCs w:val="24"/>
        </w:rPr>
        <w:t xml:space="preserve">Implement consistent eligibility across the state to allow a wider range of students, not just those with high GPAs. </w:t>
      </w:r>
    </w:p>
    <w:p w14:paraId="1E4D96FC" w14:textId="77777777" w:rsidR="00306CDE" w:rsidRDefault="00306CDE" w:rsidP="00306CDE">
      <w:pPr>
        <w:pStyle w:val="ListParagraph"/>
        <w:numPr>
          <w:ilvl w:val="0"/>
          <w:numId w:val="8"/>
        </w:numPr>
        <w:rPr>
          <w:rFonts w:cs="Times New Roman"/>
          <w:color w:val="000000" w:themeColor="text1"/>
          <w:spacing w:val="3"/>
          <w:szCs w:val="24"/>
        </w:rPr>
      </w:pPr>
      <w:r>
        <w:rPr>
          <w:rFonts w:cs="Times New Roman"/>
          <w:color w:val="000000" w:themeColor="text1"/>
          <w:spacing w:val="3"/>
          <w:szCs w:val="24"/>
        </w:rPr>
        <w:t xml:space="preserve">Increase </w:t>
      </w:r>
      <w:r w:rsidRPr="000D69D7">
        <w:rPr>
          <w:rFonts w:cs="Times New Roman"/>
          <w:color w:val="000000" w:themeColor="text1"/>
          <w:spacing w:val="3"/>
          <w:szCs w:val="24"/>
        </w:rPr>
        <w:t>targeted student support through advising, scheduling</w:t>
      </w:r>
      <w:r>
        <w:rPr>
          <w:rFonts w:cs="Times New Roman"/>
          <w:color w:val="000000" w:themeColor="text1"/>
          <w:spacing w:val="3"/>
          <w:szCs w:val="24"/>
        </w:rPr>
        <w:t>,</w:t>
      </w:r>
      <w:r w:rsidRPr="000D69D7">
        <w:rPr>
          <w:rFonts w:cs="Times New Roman"/>
          <w:color w:val="000000" w:themeColor="text1"/>
          <w:spacing w:val="3"/>
          <w:szCs w:val="24"/>
        </w:rPr>
        <w:t xml:space="preserve"> and availability of classes</w:t>
      </w:r>
      <w:r>
        <w:rPr>
          <w:rFonts w:cs="Times New Roman"/>
          <w:color w:val="000000" w:themeColor="text1"/>
          <w:spacing w:val="3"/>
          <w:szCs w:val="24"/>
        </w:rPr>
        <w:t>.</w:t>
      </w:r>
    </w:p>
    <w:p w14:paraId="21A60F1A" w14:textId="77777777" w:rsidR="00306CDE" w:rsidRPr="00E46E1F" w:rsidRDefault="00306CDE" w:rsidP="00306CDE">
      <w:pPr>
        <w:pStyle w:val="ListParagraph"/>
        <w:numPr>
          <w:ilvl w:val="0"/>
          <w:numId w:val="8"/>
        </w:numPr>
        <w:rPr>
          <w:rFonts w:cs="Times New Roman"/>
          <w:color w:val="000000" w:themeColor="text1"/>
          <w:spacing w:val="3"/>
          <w:szCs w:val="24"/>
        </w:rPr>
      </w:pPr>
      <w:r>
        <w:rPr>
          <w:rFonts w:cs="Times New Roman"/>
          <w:color w:val="000000" w:themeColor="text1"/>
          <w:spacing w:val="3"/>
          <w:szCs w:val="24"/>
        </w:rPr>
        <w:t xml:space="preserve">Increase student-focused </w:t>
      </w:r>
      <w:r w:rsidRPr="000D69D7">
        <w:rPr>
          <w:rFonts w:cs="Times New Roman"/>
          <w:color w:val="000000" w:themeColor="text1"/>
          <w:spacing w:val="3"/>
          <w:szCs w:val="24"/>
        </w:rPr>
        <w:t>modality options for greater retention rates for second year.</w:t>
      </w:r>
    </w:p>
    <w:p w14:paraId="7A9E0BD8" w14:textId="77777777" w:rsidR="00306CDE" w:rsidRDefault="00306CDE" w:rsidP="00306CDE">
      <w:pPr>
        <w:pStyle w:val="Heading3"/>
        <w:rPr>
          <w:rFonts w:cs="Times New Roman"/>
        </w:rPr>
      </w:pPr>
      <w:bookmarkStart w:id="104" w:name="_Hlk223172229"/>
      <w:bookmarkStart w:id="105" w:name="_Toc224458922"/>
      <w:r>
        <w:rPr>
          <w:rFonts w:cs="Times New Roman"/>
        </w:rPr>
        <w:t>Recommendations for Further Research</w:t>
      </w:r>
      <w:bookmarkEnd w:id="105"/>
    </w:p>
    <w:bookmarkEnd w:id="104"/>
    <w:p w14:paraId="1C394E8A" w14:textId="77777777" w:rsidR="00306CDE" w:rsidRDefault="00306CDE" w:rsidP="00306CDE">
      <w:pPr>
        <w:ind w:firstLine="720"/>
      </w:pPr>
      <w:r>
        <w:t xml:space="preserve">The findings of this study provide an established relationship between dual enrollment and graduation rates at a Tennessee community college. My study consisted of student cohorts of 2017 through 2021. The dual enrollment landscape continues to change in Tennessee. Change in requirements for the Dual Enrollment Grant, application cycle, and increase in the number of dual enrollment course hours a student can take may contribute to greater access for students. It would be beneficial to analyze student cohorts beyond this study to evaluate post COVID-19 dual enrollment data. Based on the findings of this research, the following are recommendations for further research: </w:t>
      </w:r>
    </w:p>
    <w:p w14:paraId="5D86BB5A" w14:textId="77777777" w:rsidR="00306CDE" w:rsidRDefault="00306CDE" w:rsidP="00306CDE">
      <w:pPr>
        <w:pStyle w:val="ListParagraph"/>
        <w:numPr>
          <w:ilvl w:val="0"/>
          <w:numId w:val="7"/>
        </w:numPr>
      </w:pPr>
      <w:r>
        <w:lastRenderedPageBreak/>
        <w:t xml:space="preserve">Conduct a qualitative study to </w:t>
      </w:r>
      <w:r w:rsidRPr="00CE7D6D">
        <w:rPr>
          <w:rFonts w:cs="Times New Roman"/>
          <w:color w:val="242424"/>
          <w:szCs w:val="24"/>
          <w:bdr w:val="none" w:sz="0" w:space="0" w:color="auto" w:frame="1"/>
        </w:rPr>
        <w:t>interview non-returning, second year dual enrollment students to determine why they chose not to re-enroll.</w:t>
      </w:r>
      <w:r>
        <w:t xml:space="preserve"> </w:t>
      </w:r>
    </w:p>
    <w:p w14:paraId="14CE66E1" w14:textId="77777777" w:rsidR="00306CDE" w:rsidRPr="00CE7D6D" w:rsidRDefault="00306CDE" w:rsidP="00306CDE">
      <w:pPr>
        <w:pStyle w:val="ListParagraph"/>
        <w:numPr>
          <w:ilvl w:val="0"/>
          <w:numId w:val="7"/>
        </w:numPr>
      </w:pPr>
      <w:r w:rsidRPr="00CE7D6D">
        <w:rPr>
          <w:rFonts w:cs="Times New Roman"/>
          <w:color w:val="242424"/>
          <w:szCs w:val="24"/>
          <w:bdr w:val="none" w:sz="0" w:space="0" w:color="auto" w:frame="1"/>
        </w:rPr>
        <w:t xml:space="preserve">Conduct a study to analyze the financial barriers beyond tuition. This research was focused on one community college in Tennessee. Although the Dual Enrollment Grant, GIVE Act expansion and Tennessee Promise assists students with cost of tuition, further research could analyze the impact of non-tuition costs which could create greater access for low-income students. </w:t>
      </w:r>
    </w:p>
    <w:p w14:paraId="4D4D90E4" w14:textId="5530F7B7" w:rsidR="00306CDE" w:rsidRPr="00D72B5E" w:rsidRDefault="00306CDE" w:rsidP="00306CDE">
      <w:pPr>
        <w:pStyle w:val="ListParagraph"/>
        <w:numPr>
          <w:ilvl w:val="0"/>
          <w:numId w:val="7"/>
        </w:numPr>
      </w:pPr>
      <w:r>
        <w:t>Analyze the impact of Tennessee grant expansion and funding changes that can cover up top 10 courses and reduced GPA requirements</w:t>
      </w:r>
      <w:r w:rsidR="00BF50C1">
        <w:t xml:space="preserve"> to maintain eligibility</w:t>
      </w:r>
      <w:r>
        <w:t>.</w:t>
      </w:r>
    </w:p>
    <w:p w14:paraId="33BC5BC9" w14:textId="77777777" w:rsidR="00306CDE" w:rsidRPr="00FB65C2" w:rsidRDefault="00306CDE" w:rsidP="00306CDE">
      <w:pPr>
        <w:pStyle w:val="ListParagraph"/>
        <w:numPr>
          <w:ilvl w:val="0"/>
          <w:numId w:val="7"/>
        </w:numPr>
      </w:pPr>
      <w:r>
        <w:rPr>
          <w:rFonts w:cs="Times New Roman"/>
          <w:color w:val="242424"/>
          <w:szCs w:val="24"/>
          <w:bdr w:val="none" w:sz="0" w:space="0" w:color="auto" w:frame="1"/>
        </w:rPr>
        <w:t xml:space="preserve">Conduct a study to track community college dual enrollment student enrollment transition into host institution, another community college, university, or did not enroll in college. </w:t>
      </w:r>
    </w:p>
    <w:p w14:paraId="5C1A0981" w14:textId="5252B003" w:rsidR="00306CDE" w:rsidRPr="00C063AA" w:rsidRDefault="008A53D8" w:rsidP="00306CDE">
      <w:pPr>
        <w:pStyle w:val="ListParagraph"/>
        <w:numPr>
          <w:ilvl w:val="0"/>
          <w:numId w:val="7"/>
        </w:numPr>
      </w:pPr>
      <w:r>
        <w:rPr>
          <w:rFonts w:cs="Times New Roman"/>
          <w:color w:val="242424"/>
          <w:szCs w:val="24"/>
          <w:bdr w:val="none" w:sz="0" w:space="0" w:color="auto" w:frame="1"/>
        </w:rPr>
        <w:t>Conduct a study to e</w:t>
      </w:r>
      <w:r w:rsidR="00306CDE">
        <w:rPr>
          <w:rFonts w:cs="Times New Roman"/>
          <w:color w:val="242424"/>
          <w:szCs w:val="24"/>
          <w:bdr w:val="none" w:sz="0" w:space="0" w:color="auto" w:frame="1"/>
        </w:rPr>
        <w:t xml:space="preserve">valuate </w:t>
      </w:r>
      <w:r>
        <w:rPr>
          <w:rFonts w:cs="Times New Roman"/>
          <w:color w:val="242424"/>
          <w:szCs w:val="24"/>
          <w:bdr w:val="none" w:sz="0" w:space="0" w:color="auto" w:frame="1"/>
        </w:rPr>
        <w:t xml:space="preserve">whether </w:t>
      </w:r>
      <w:r w:rsidR="00306CDE">
        <w:rPr>
          <w:rFonts w:cs="Times New Roman"/>
          <w:color w:val="242424"/>
          <w:szCs w:val="24"/>
          <w:bdr w:val="none" w:sz="0" w:space="0" w:color="auto" w:frame="1"/>
        </w:rPr>
        <w:t xml:space="preserve">dual enrollment </w:t>
      </w:r>
      <w:r>
        <w:rPr>
          <w:rFonts w:cs="Times New Roman"/>
          <w:color w:val="242424"/>
          <w:szCs w:val="24"/>
          <w:bdr w:val="none" w:sz="0" w:space="0" w:color="auto" w:frame="1"/>
        </w:rPr>
        <w:t xml:space="preserve">courses in a specific </w:t>
      </w:r>
      <w:r w:rsidR="00306CDE">
        <w:rPr>
          <w:rFonts w:cs="Times New Roman"/>
          <w:color w:val="242424"/>
          <w:szCs w:val="24"/>
          <w:bdr w:val="none" w:sz="0" w:space="0" w:color="auto" w:frame="1"/>
        </w:rPr>
        <w:t xml:space="preserve">subject </w:t>
      </w:r>
      <w:r>
        <w:rPr>
          <w:rFonts w:cs="Times New Roman"/>
          <w:color w:val="242424"/>
          <w:szCs w:val="24"/>
          <w:bdr w:val="none" w:sz="0" w:space="0" w:color="auto" w:frame="1"/>
        </w:rPr>
        <w:t>predict higher</w:t>
      </w:r>
      <w:r w:rsidR="00306CDE">
        <w:rPr>
          <w:rFonts w:cs="Times New Roman"/>
          <w:color w:val="242424"/>
          <w:szCs w:val="24"/>
          <w:bdr w:val="none" w:sz="0" w:space="0" w:color="auto" w:frame="1"/>
        </w:rPr>
        <w:t xml:space="preserve"> GPA</w:t>
      </w:r>
      <w:r>
        <w:rPr>
          <w:rFonts w:cs="Times New Roman"/>
          <w:color w:val="242424"/>
          <w:szCs w:val="24"/>
          <w:bdr w:val="none" w:sz="0" w:space="0" w:color="auto" w:frame="1"/>
        </w:rPr>
        <w:t>s in corresponding majors, compared to students who took non-relevant dual enrollment courses</w:t>
      </w:r>
      <w:r w:rsidR="00306CDE">
        <w:rPr>
          <w:rFonts w:cs="Times New Roman"/>
          <w:color w:val="242424"/>
          <w:szCs w:val="24"/>
          <w:bdr w:val="none" w:sz="0" w:space="0" w:color="auto" w:frame="1"/>
        </w:rPr>
        <w:t>.</w:t>
      </w:r>
    </w:p>
    <w:p w14:paraId="6DEB91BF" w14:textId="77777777" w:rsidR="00306CDE" w:rsidRDefault="00306CDE" w:rsidP="00306CDE">
      <w:pPr>
        <w:pStyle w:val="Heading3"/>
        <w:rPr>
          <w:rFonts w:cs="Times New Roman"/>
        </w:rPr>
      </w:pPr>
      <w:bookmarkStart w:id="106" w:name="_Toc224458923"/>
      <w:r>
        <w:rPr>
          <w:rFonts w:cs="Times New Roman"/>
        </w:rPr>
        <w:t>Chapter Summary</w:t>
      </w:r>
      <w:bookmarkEnd w:id="106"/>
    </w:p>
    <w:p w14:paraId="01433E35" w14:textId="028A4419" w:rsidR="00306CDE" w:rsidRDefault="00306CDE" w:rsidP="00306CDE">
      <w:pPr>
        <w:ind w:firstLine="720"/>
        <w:rPr>
          <w:rFonts w:cs="Times New Roman"/>
        </w:rPr>
      </w:pPr>
      <w:r>
        <w:t xml:space="preserve">The findings in this study indicate there is a significant relationship between taking dual enrollment and educational outcomes such as early persistence, full-time attendance, GPA, total earned credits, and higher community college completion rates. </w:t>
      </w:r>
      <w:r w:rsidRPr="00840F52">
        <w:rPr>
          <w:color w:val="242424"/>
          <w:bdr w:val="none" w:sz="0" w:space="0" w:color="auto" w:frame="1"/>
        </w:rPr>
        <w:t>This research shows</w:t>
      </w:r>
      <w:r w:rsidR="00793FC4">
        <w:rPr>
          <w:color w:val="242424"/>
          <w:bdr w:val="none" w:sz="0" w:space="0" w:color="auto" w:frame="1"/>
        </w:rPr>
        <w:t xml:space="preserve"> benefits of dual enrollment for both </w:t>
      </w:r>
      <w:r w:rsidRPr="00840F52">
        <w:rPr>
          <w:color w:val="242424"/>
          <w:bdr w:val="none" w:sz="0" w:space="0" w:color="auto" w:frame="1"/>
        </w:rPr>
        <w:t xml:space="preserve">students and the community college. </w:t>
      </w:r>
      <w:r>
        <w:rPr>
          <w:color w:val="242424"/>
          <w:bdr w:val="none" w:sz="0" w:space="0" w:color="auto" w:frame="1"/>
        </w:rPr>
        <w:t xml:space="preserve">Dual enrollment </w:t>
      </w:r>
      <w:r w:rsidR="0079790D">
        <w:rPr>
          <w:color w:val="242424"/>
          <w:bdr w:val="none" w:sz="0" w:space="0" w:color="auto" w:frame="1"/>
        </w:rPr>
        <w:t xml:space="preserve">can be a contributor to </w:t>
      </w:r>
      <w:r>
        <w:rPr>
          <w:color w:val="242424"/>
          <w:bdr w:val="none" w:sz="0" w:space="0" w:color="auto" w:frame="1"/>
        </w:rPr>
        <w:t xml:space="preserve">community college growth that boosts early momentum, full-time enrollment, higher GPAs, and higher degree completion rates. The overall impact on college GPA and academic credit accumulation suggests </w:t>
      </w:r>
      <w:r w:rsidR="0079790D">
        <w:rPr>
          <w:color w:val="242424"/>
          <w:bdr w:val="none" w:sz="0" w:space="0" w:color="auto" w:frame="1"/>
        </w:rPr>
        <w:t>dual enrollment can play a</w:t>
      </w:r>
      <w:r>
        <w:rPr>
          <w:color w:val="242424"/>
          <w:bdr w:val="none" w:sz="0" w:space="0" w:color="auto" w:frame="1"/>
        </w:rPr>
        <w:t xml:space="preserve"> role in academic success. </w:t>
      </w:r>
      <w:r>
        <w:rPr>
          <w:rFonts w:cs="Times New Roman"/>
        </w:rPr>
        <w:t xml:space="preserve">The </w:t>
      </w:r>
      <w:r>
        <w:rPr>
          <w:rFonts w:cs="Times New Roman"/>
        </w:rPr>
        <w:lastRenderedPageBreak/>
        <w:t xml:space="preserve">research </w:t>
      </w:r>
      <w:r w:rsidR="0079790D">
        <w:rPr>
          <w:rFonts w:cs="Times New Roman"/>
        </w:rPr>
        <w:t>shows</w:t>
      </w:r>
      <w:r>
        <w:rPr>
          <w:rFonts w:cs="Times New Roman"/>
        </w:rPr>
        <w:t xml:space="preserve">, dual enrollment </w:t>
      </w:r>
      <w:r w:rsidR="0079790D">
        <w:rPr>
          <w:rFonts w:cs="Times New Roman"/>
        </w:rPr>
        <w:t>can g</w:t>
      </w:r>
      <w:r w:rsidR="007E3C95">
        <w:rPr>
          <w:rFonts w:cs="Times New Roman"/>
        </w:rPr>
        <w:t>i</w:t>
      </w:r>
      <w:r w:rsidR="0079790D">
        <w:rPr>
          <w:rFonts w:cs="Times New Roman"/>
        </w:rPr>
        <w:t>ve</w:t>
      </w:r>
      <w:r>
        <w:rPr>
          <w:rFonts w:cs="Times New Roman"/>
        </w:rPr>
        <w:t xml:space="preserve"> students a jumpstart on college, fostering early college readiness.</w:t>
      </w:r>
    </w:p>
    <w:p w14:paraId="03347D0E" w14:textId="71826C84" w:rsidR="00793FC4" w:rsidRDefault="00793FC4" w:rsidP="00B5496B">
      <w:pPr>
        <w:ind w:firstLine="720"/>
      </w:pPr>
      <w:r>
        <w:t>Overall, this study contributes to the growing body of research demonstrating that dual enrollment participation is associated with several indicators of early college success, including stronger first-year GPA, greater credit accumulation, and higher completion rates. By comparing students who were academically eligible for dual enrollment regardless of participation, this study offers a more equitable comparison of outcomes and helps isolate the potential impact of the program itself. These findings may assist institutional leaders, policymakers, and advisors in evaluating how dual enrollment programs can expand college access, strengthen early academic momentum, and support student success in community college pathways.</w:t>
      </w:r>
    </w:p>
    <w:p w14:paraId="2E56D682" w14:textId="4EDA9C84" w:rsidR="004F5FCE" w:rsidRDefault="004F5FCE" w:rsidP="00306CDE">
      <w:pPr>
        <w:pStyle w:val="Heading2"/>
        <w:rPr>
          <w:b w:val="0"/>
          <w:szCs w:val="24"/>
        </w:rPr>
      </w:pPr>
    </w:p>
    <w:p w14:paraId="3EA95ED2" w14:textId="5E42CD36" w:rsidR="004F5FCE" w:rsidRDefault="004F5FCE">
      <w:pPr>
        <w:spacing w:after="160" w:line="259" w:lineRule="auto"/>
        <w:rPr>
          <w:rFonts w:eastAsiaTheme="majorEastAsia" w:cstheme="majorBidi"/>
          <w:b/>
          <w:szCs w:val="24"/>
        </w:rPr>
      </w:pPr>
    </w:p>
    <w:p w14:paraId="43C77AA4" w14:textId="5707D91F" w:rsidR="004F5FCE" w:rsidRDefault="004F5FCE">
      <w:pPr>
        <w:spacing w:after="160" w:line="259" w:lineRule="auto"/>
        <w:rPr>
          <w:rFonts w:eastAsiaTheme="majorEastAsia" w:cstheme="majorBidi"/>
          <w:b/>
          <w:szCs w:val="24"/>
        </w:rPr>
      </w:pPr>
    </w:p>
    <w:p w14:paraId="6321524D" w14:textId="105F3E39" w:rsidR="00FB0DE0" w:rsidRDefault="00FB0DE0">
      <w:pPr>
        <w:spacing w:after="160" w:line="259" w:lineRule="auto"/>
        <w:rPr>
          <w:rFonts w:eastAsiaTheme="majorEastAsia" w:cstheme="majorBidi"/>
          <w:b/>
          <w:szCs w:val="24"/>
        </w:rPr>
      </w:pPr>
    </w:p>
    <w:p w14:paraId="30E2D9EA" w14:textId="09CEAB3F" w:rsidR="00FB0DE0" w:rsidRDefault="00FB0DE0">
      <w:pPr>
        <w:spacing w:after="160" w:line="259" w:lineRule="auto"/>
        <w:rPr>
          <w:rFonts w:eastAsiaTheme="majorEastAsia" w:cstheme="majorBidi"/>
          <w:b/>
          <w:szCs w:val="24"/>
        </w:rPr>
      </w:pPr>
    </w:p>
    <w:p w14:paraId="588C3D11" w14:textId="170FA353" w:rsidR="00FB0DE0" w:rsidRDefault="00FB0DE0">
      <w:pPr>
        <w:spacing w:after="160" w:line="259" w:lineRule="auto"/>
        <w:rPr>
          <w:rFonts w:eastAsiaTheme="majorEastAsia" w:cstheme="majorBidi"/>
          <w:b/>
          <w:szCs w:val="24"/>
        </w:rPr>
      </w:pPr>
    </w:p>
    <w:p w14:paraId="4DF95B14" w14:textId="7227E362" w:rsidR="00FB0DE0" w:rsidRDefault="00FB0DE0">
      <w:pPr>
        <w:spacing w:after="160" w:line="259" w:lineRule="auto"/>
        <w:rPr>
          <w:rFonts w:eastAsiaTheme="majorEastAsia" w:cstheme="majorBidi"/>
          <w:b/>
          <w:szCs w:val="24"/>
        </w:rPr>
      </w:pPr>
    </w:p>
    <w:p w14:paraId="7F4B0DA0" w14:textId="7D56AA08" w:rsidR="00FB0DE0" w:rsidRDefault="00FB0DE0">
      <w:pPr>
        <w:spacing w:after="160" w:line="259" w:lineRule="auto"/>
        <w:rPr>
          <w:rFonts w:eastAsiaTheme="majorEastAsia" w:cstheme="majorBidi"/>
          <w:b/>
          <w:szCs w:val="24"/>
        </w:rPr>
      </w:pPr>
    </w:p>
    <w:p w14:paraId="00C5FF4E" w14:textId="46DFF355" w:rsidR="00FB0DE0" w:rsidRDefault="00FB0DE0">
      <w:pPr>
        <w:spacing w:after="160" w:line="259" w:lineRule="auto"/>
        <w:rPr>
          <w:rFonts w:eastAsiaTheme="majorEastAsia" w:cstheme="majorBidi"/>
          <w:b/>
          <w:szCs w:val="24"/>
        </w:rPr>
      </w:pPr>
    </w:p>
    <w:p w14:paraId="1886CCDD" w14:textId="066DF615" w:rsidR="00FB0DE0" w:rsidRDefault="00FB0DE0">
      <w:pPr>
        <w:spacing w:after="160" w:line="259" w:lineRule="auto"/>
        <w:rPr>
          <w:rFonts w:eastAsiaTheme="majorEastAsia" w:cstheme="majorBidi"/>
          <w:b/>
          <w:szCs w:val="24"/>
        </w:rPr>
      </w:pPr>
    </w:p>
    <w:p w14:paraId="43863528" w14:textId="0EB21BD9" w:rsidR="00FB0DE0" w:rsidRDefault="00FB0DE0">
      <w:pPr>
        <w:spacing w:after="160" w:line="259" w:lineRule="auto"/>
        <w:rPr>
          <w:rFonts w:eastAsiaTheme="majorEastAsia" w:cstheme="majorBidi"/>
          <w:b/>
          <w:szCs w:val="24"/>
        </w:rPr>
      </w:pPr>
    </w:p>
    <w:p w14:paraId="61E2FEEA" w14:textId="77777777" w:rsidR="00FB0DE0" w:rsidRDefault="00FB0DE0">
      <w:pPr>
        <w:spacing w:after="160" w:line="259" w:lineRule="auto"/>
        <w:rPr>
          <w:rFonts w:eastAsiaTheme="majorEastAsia" w:cstheme="majorBidi"/>
          <w:b/>
          <w:szCs w:val="24"/>
        </w:rPr>
      </w:pPr>
    </w:p>
    <w:p w14:paraId="4ACD02EC" w14:textId="2E265549" w:rsidR="004F5FCE" w:rsidRDefault="004F5FCE">
      <w:pPr>
        <w:spacing w:after="160" w:line="259" w:lineRule="auto"/>
        <w:rPr>
          <w:rFonts w:eastAsiaTheme="majorEastAsia" w:cstheme="majorBidi"/>
          <w:b/>
          <w:szCs w:val="24"/>
        </w:rPr>
      </w:pPr>
    </w:p>
    <w:p w14:paraId="05DD8A6D" w14:textId="1F1438A3" w:rsidR="00A10AD2" w:rsidRDefault="00A10AD2" w:rsidP="005B59E7">
      <w:pPr>
        <w:rPr>
          <w:rFonts w:cs="Times New Roman"/>
        </w:rPr>
      </w:pPr>
    </w:p>
    <w:p w14:paraId="65CD922A" w14:textId="77777777" w:rsidR="00A10AD2" w:rsidRDefault="00A10AD2" w:rsidP="005B59E7">
      <w:pPr>
        <w:rPr>
          <w:rFonts w:cs="Times New Roman"/>
        </w:rPr>
      </w:pPr>
    </w:p>
    <w:p w14:paraId="7176AF45" w14:textId="77777777" w:rsidR="00E76FBA" w:rsidRPr="005B59E7" w:rsidRDefault="00E76FBA" w:rsidP="005B59E7">
      <w:pPr>
        <w:rPr>
          <w:rFonts w:cs="Times New Roman"/>
        </w:rPr>
      </w:pPr>
    </w:p>
    <w:p w14:paraId="53BFF289" w14:textId="77777777" w:rsidR="00410075" w:rsidRDefault="00E14DEA" w:rsidP="00E14DEA">
      <w:pPr>
        <w:pStyle w:val="Heading2"/>
      </w:pPr>
      <w:bookmarkStart w:id="107" w:name="_Toc224458924"/>
      <w:r w:rsidRPr="00410075">
        <w:lastRenderedPageBreak/>
        <w:t>References</w:t>
      </w:r>
      <w:bookmarkEnd w:id="107"/>
    </w:p>
    <w:p w14:paraId="649E7739" w14:textId="3EB915AA" w:rsidR="002C4EBC" w:rsidRDefault="002C4EBC" w:rsidP="00EC70BC">
      <w:pPr>
        <w:ind w:left="720" w:hanging="720"/>
        <w:rPr>
          <w:rFonts w:cs="Times New Roman"/>
          <w:szCs w:val="24"/>
        </w:rPr>
      </w:pPr>
      <w:bookmarkStart w:id="108" w:name="_Hlk126845822"/>
      <w:r>
        <w:rPr>
          <w:rFonts w:cs="Times New Roman"/>
          <w:szCs w:val="24"/>
        </w:rPr>
        <w:t xml:space="preserve">Advance CTE. (2025, April 17). </w:t>
      </w:r>
      <w:r w:rsidR="0018773C" w:rsidRPr="000666A7">
        <w:rPr>
          <w:rFonts w:cs="Times New Roman"/>
          <w:i/>
          <w:iCs/>
          <w:szCs w:val="24"/>
        </w:rPr>
        <w:t>The shift in accountability: How states and districts can prepare.</w:t>
      </w:r>
      <w:r w:rsidR="0018773C">
        <w:rPr>
          <w:rFonts w:cs="Times New Roman"/>
          <w:szCs w:val="24"/>
        </w:rPr>
        <w:t xml:space="preserve"> </w:t>
      </w:r>
      <w:hyperlink r:id="rId15" w:history="1">
        <w:r w:rsidR="0018773C" w:rsidRPr="004841C6">
          <w:rPr>
            <w:rStyle w:val="Hyperlink"/>
            <w:rFonts w:cs="Times New Roman"/>
            <w:szCs w:val="24"/>
          </w:rPr>
          <w:t>https://careertech.org/blog/the-shift-in-accountability-how-states-and-districts-can-prepare/</w:t>
        </w:r>
      </w:hyperlink>
      <w:r w:rsidR="0018773C">
        <w:rPr>
          <w:rFonts w:cs="Times New Roman"/>
          <w:szCs w:val="24"/>
        </w:rPr>
        <w:t xml:space="preserve"> </w:t>
      </w:r>
    </w:p>
    <w:p w14:paraId="7C75852E" w14:textId="3A3D8184" w:rsidR="00EC70BC" w:rsidRDefault="00EC70BC" w:rsidP="00EC70BC">
      <w:pPr>
        <w:ind w:left="720" w:hanging="720"/>
        <w:rPr>
          <w:rFonts w:cs="Times New Roman"/>
          <w:szCs w:val="24"/>
        </w:rPr>
      </w:pPr>
      <w:r w:rsidRPr="009464A1">
        <w:rPr>
          <w:rFonts w:cs="Times New Roman"/>
          <w:szCs w:val="24"/>
        </w:rPr>
        <w:t>Ad</w:t>
      </w:r>
      <w:r>
        <w:rPr>
          <w:rFonts w:cs="Times New Roman"/>
          <w:szCs w:val="24"/>
        </w:rPr>
        <w:t xml:space="preserve">vance CTE. (2022). </w:t>
      </w:r>
      <w:r w:rsidR="009F6D3B" w:rsidRPr="009F6D3B">
        <w:rPr>
          <w:rFonts w:cs="Times New Roman"/>
          <w:i/>
          <w:iCs/>
          <w:szCs w:val="24"/>
        </w:rPr>
        <w:t>The s</w:t>
      </w:r>
      <w:r w:rsidRPr="00CF17D0">
        <w:rPr>
          <w:rFonts w:cs="Times New Roman"/>
          <w:i/>
          <w:iCs/>
          <w:szCs w:val="24"/>
        </w:rPr>
        <w:t>tate of CTE: Early postsecondary opportunities.</w:t>
      </w:r>
      <w:r>
        <w:rPr>
          <w:rFonts w:cs="Times New Roman"/>
          <w:szCs w:val="24"/>
        </w:rPr>
        <w:t xml:space="preserve"> </w:t>
      </w:r>
      <w:hyperlink r:id="rId16" w:history="1">
        <w:r w:rsidRPr="00DA73CD">
          <w:rPr>
            <w:rStyle w:val="Hyperlink"/>
            <w:rFonts w:cs="Times New Roman"/>
            <w:szCs w:val="24"/>
          </w:rPr>
          <w:t>https://careertech.org/wp-content/uploads/sites/default/files/files/resources/StateofCTE_EPSO_032022.pdf</w:t>
        </w:r>
      </w:hyperlink>
      <w:r w:rsidR="003D7765">
        <w:rPr>
          <w:rStyle w:val="Hyperlink"/>
          <w:rFonts w:cs="Times New Roman"/>
          <w:szCs w:val="24"/>
        </w:rPr>
        <w:t xml:space="preserve"> </w:t>
      </w:r>
    </w:p>
    <w:p w14:paraId="26E387C0" w14:textId="57CA0F5B" w:rsidR="0068448F" w:rsidRDefault="0068448F" w:rsidP="0068448F">
      <w:pPr>
        <w:ind w:left="720" w:hanging="720"/>
        <w:rPr>
          <w:rFonts w:cs="Times New Roman"/>
          <w:szCs w:val="24"/>
        </w:rPr>
      </w:pPr>
      <w:r w:rsidRPr="009464A1">
        <w:rPr>
          <w:rFonts w:cs="Times New Roman"/>
          <w:szCs w:val="24"/>
        </w:rPr>
        <w:t>All</w:t>
      </w:r>
      <w:r w:rsidRPr="0068448F">
        <w:rPr>
          <w:rFonts w:cs="Times New Roman"/>
          <w:szCs w:val="24"/>
        </w:rPr>
        <w:t>en, D.</w:t>
      </w:r>
      <w:r w:rsidR="00A85779">
        <w:rPr>
          <w:rFonts w:cs="Times New Roman"/>
          <w:szCs w:val="24"/>
        </w:rPr>
        <w:t>,</w:t>
      </w:r>
      <w:r w:rsidRPr="0068448F">
        <w:rPr>
          <w:rFonts w:cs="Times New Roman"/>
          <w:szCs w:val="24"/>
        </w:rPr>
        <w:t xml:space="preserve"> &amp; Dadgar, M. (2012). </w:t>
      </w:r>
      <w:r w:rsidR="000023F6">
        <w:rPr>
          <w:rFonts w:cs="Times New Roman"/>
          <w:szCs w:val="24"/>
        </w:rPr>
        <w:t>D</w:t>
      </w:r>
      <w:r w:rsidR="000023F6" w:rsidRPr="0068448F">
        <w:rPr>
          <w:rFonts w:cs="Times New Roman"/>
          <w:szCs w:val="24"/>
        </w:rPr>
        <w:t xml:space="preserve">oes </w:t>
      </w:r>
      <w:r w:rsidR="000023F6">
        <w:rPr>
          <w:rFonts w:cs="Times New Roman"/>
          <w:szCs w:val="24"/>
        </w:rPr>
        <w:t>d</w:t>
      </w:r>
      <w:r w:rsidR="000023F6" w:rsidRPr="0068448F">
        <w:rPr>
          <w:rFonts w:cs="Times New Roman"/>
          <w:szCs w:val="24"/>
        </w:rPr>
        <w:t xml:space="preserve">ual enrollment increase students’ success in college? </w:t>
      </w:r>
      <w:r w:rsidR="000023F6">
        <w:rPr>
          <w:rFonts w:cs="Times New Roman"/>
          <w:szCs w:val="24"/>
        </w:rPr>
        <w:t>E</w:t>
      </w:r>
      <w:r w:rsidR="000023F6" w:rsidRPr="0068448F">
        <w:rPr>
          <w:rFonts w:cs="Times New Roman"/>
          <w:szCs w:val="24"/>
        </w:rPr>
        <w:t xml:space="preserve">vidence from a quasi-experimental analysis of dual enrollment in </w:t>
      </w:r>
      <w:r w:rsidR="000023F6">
        <w:rPr>
          <w:rFonts w:cs="Times New Roman"/>
          <w:szCs w:val="24"/>
        </w:rPr>
        <w:t>N</w:t>
      </w:r>
      <w:r w:rsidR="000023F6" w:rsidRPr="0068448F">
        <w:rPr>
          <w:rFonts w:cs="Times New Roman"/>
          <w:szCs w:val="24"/>
        </w:rPr>
        <w:t xml:space="preserve">ew </w:t>
      </w:r>
      <w:r w:rsidR="000023F6">
        <w:rPr>
          <w:rFonts w:cs="Times New Roman"/>
          <w:szCs w:val="24"/>
        </w:rPr>
        <w:t>N</w:t>
      </w:r>
      <w:r w:rsidR="000023F6" w:rsidRPr="0068448F">
        <w:rPr>
          <w:rFonts w:cs="Times New Roman"/>
          <w:szCs w:val="24"/>
        </w:rPr>
        <w:t xml:space="preserve">ork </w:t>
      </w:r>
      <w:r w:rsidR="000023F6">
        <w:rPr>
          <w:rFonts w:cs="Times New Roman"/>
          <w:szCs w:val="24"/>
        </w:rPr>
        <w:t>C</w:t>
      </w:r>
      <w:r w:rsidR="000023F6" w:rsidRPr="0068448F">
        <w:rPr>
          <w:rFonts w:cs="Times New Roman"/>
          <w:szCs w:val="24"/>
        </w:rPr>
        <w:t>ity</w:t>
      </w:r>
      <w:r w:rsidR="000023F6">
        <w:rPr>
          <w:rFonts w:cs="Times New Roman"/>
          <w:szCs w:val="24"/>
        </w:rPr>
        <w:t>.</w:t>
      </w:r>
      <w:r w:rsidR="00216C3A">
        <w:rPr>
          <w:rFonts w:cs="Times New Roman"/>
          <w:szCs w:val="24"/>
        </w:rPr>
        <w:t xml:space="preserve"> </w:t>
      </w:r>
      <w:r w:rsidR="00216C3A">
        <w:rPr>
          <w:rFonts w:cs="Times New Roman"/>
          <w:i/>
          <w:iCs/>
          <w:szCs w:val="24"/>
        </w:rPr>
        <w:t>New Directions for Higher Education, 2012</w:t>
      </w:r>
      <w:r w:rsidR="00216C3A">
        <w:rPr>
          <w:rFonts w:cs="Times New Roman"/>
          <w:szCs w:val="24"/>
        </w:rPr>
        <w:t>(158)</w:t>
      </w:r>
      <w:r w:rsidR="00E8571F">
        <w:rPr>
          <w:rFonts w:cs="Times New Roman"/>
          <w:szCs w:val="24"/>
        </w:rPr>
        <w:t>, 11-19</w:t>
      </w:r>
      <w:r w:rsidR="00216C3A">
        <w:rPr>
          <w:rFonts w:cs="Times New Roman"/>
          <w:szCs w:val="24"/>
        </w:rPr>
        <w:t xml:space="preserve">. </w:t>
      </w:r>
      <w:hyperlink r:id="rId17" w:history="1">
        <w:r w:rsidR="00216C3A" w:rsidRPr="003C0B2B">
          <w:rPr>
            <w:rStyle w:val="Hyperlink"/>
            <w:rFonts w:cs="Times New Roman"/>
            <w:szCs w:val="24"/>
          </w:rPr>
          <w:t>https://doi.org/10.1002/he.20010</w:t>
        </w:r>
      </w:hyperlink>
      <w:r w:rsidR="00216C3A">
        <w:rPr>
          <w:rFonts w:cs="Times New Roman"/>
          <w:szCs w:val="24"/>
        </w:rPr>
        <w:t xml:space="preserve"> </w:t>
      </w:r>
    </w:p>
    <w:p w14:paraId="18A2C82F" w14:textId="050C34E2" w:rsidR="00057007" w:rsidRDefault="00057007" w:rsidP="00A866B8">
      <w:pPr>
        <w:ind w:left="720" w:hanging="720"/>
        <w:rPr>
          <w:rFonts w:eastAsia="Times New Roman" w:cs="Times New Roman"/>
          <w:szCs w:val="24"/>
        </w:rPr>
      </w:pPr>
      <w:r>
        <w:rPr>
          <w:rFonts w:eastAsia="Times New Roman" w:cs="Times New Roman"/>
          <w:szCs w:val="24"/>
        </w:rPr>
        <w:t xml:space="preserve">American Association of Community Colleges. (2019). </w:t>
      </w:r>
      <w:r w:rsidRPr="003304E5">
        <w:rPr>
          <w:rFonts w:eastAsia="Times New Roman" w:cs="Times New Roman"/>
          <w:i/>
          <w:iCs/>
          <w:szCs w:val="24"/>
        </w:rPr>
        <w:t>Community college enrollment crisis? Historical trends in community college enrollment</w:t>
      </w:r>
      <w:r>
        <w:rPr>
          <w:rFonts w:eastAsia="Times New Roman" w:cs="Times New Roman"/>
          <w:szCs w:val="24"/>
        </w:rPr>
        <w:t xml:space="preserve">. </w:t>
      </w:r>
      <w:hyperlink r:id="rId18" w:history="1">
        <w:r w:rsidRPr="004841C6">
          <w:rPr>
            <w:rStyle w:val="Hyperlink"/>
            <w:rFonts w:eastAsia="Times New Roman" w:cs="Times New Roman"/>
            <w:szCs w:val="24"/>
          </w:rPr>
          <w:t>https://www.aacc.nche.edu/wp-content/uploads/2019/08/Crisis-in-Enrollment-2019.pdf</w:t>
        </w:r>
      </w:hyperlink>
      <w:r>
        <w:rPr>
          <w:rFonts w:eastAsia="Times New Roman" w:cs="Times New Roman"/>
          <w:szCs w:val="24"/>
        </w:rPr>
        <w:t xml:space="preserve"> </w:t>
      </w:r>
    </w:p>
    <w:p w14:paraId="030AF00E" w14:textId="420FF38F" w:rsidR="0068448F" w:rsidRDefault="0068448F" w:rsidP="00A866B8">
      <w:pPr>
        <w:ind w:left="720" w:hanging="720"/>
        <w:rPr>
          <w:rFonts w:eastAsia="Times New Roman" w:cs="Times New Roman"/>
          <w:szCs w:val="24"/>
        </w:rPr>
      </w:pPr>
      <w:r>
        <w:rPr>
          <w:rFonts w:eastAsia="Times New Roman" w:cs="Times New Roman"/>
          <w:szCs w:val="24"/>
        </w:rPr>
        <w:t>American Association of Community Colleges.</w:t>
      </w:r>
      <w:r w:rsidR="005D52FF">
        <w:rPr>
          <w:rFonts w:eastAsia="Times New Roman" w:cs="Times New Roman"/>
          <w:szCs w:val="24"/>
        </w:rPr>
        <w:t xml:space="preserve"> (2025).</w:t>
      </w:r>
      <w:r>
        <w:rPr>
          <w:rFonts w:eastAsia="Times New Roman" w:cs="Times New Roman"/>
          <w:szCs w:val="24"/>
        </w:rPr>
        <w:t xml:space="preserve"> </w:t>
      </w:r>
      <w:r w:rsidRPr="005D52FF">
        <w:rPr>
          <w:rFonts w:eastAsia="Times New Roman" w:cs="Times New Roman"/>
          <w:i/>
          <w:iCs/>
          <w:szCs w:val="24"/>
        </w:rPr>
        <w:t>AACC 2025 Fact Sheet.</w:t>
      </w:r>
    </w:p>
    <w:p w14:paraId="794A32CE" w14:textId="77777777" w:rsidR="0068448F" w:rsidRPr="0068448F" w:rsidRDefault="0068448F" w:rsidP="0068448F">
      <w:pPr>
        <w:rPr>
          <w:rFonts w:eastAsia="Times New Roman" w:cs="Times New Roman"/>
          <w:szCs w:val="24"/>
        </w:rPr>
      </w:pPr>
      <w:r>
        <w:rPr>
          <w:rFonts w:eastAsia="Times New Roman" w:cs="Times New Roman"/>
          <w:color w:val="000000" w:themeColor="text1"/>
          <w:szCs w:val="24"/>
        </w:rPr>
        <w:tab/>
      </w:r>
      <w:hyperlink r:id="rId19" w:history="1">
        <w:r w:rsidRPr="00891F26">
          <w:rPr>
            <w:rStyle w:val="Hyperlink"/>
            <w:rFonts w:eastAsia="Times New Roman" w:cs="Times New Roman"/>
            <w:szCs w:val="24"/>
          </w:rPr>
          <w:t>https://www.aacc.nche.edu/wp-content/uploads/2025/02/AACC2025_Fact_Sheet.pdf</w:t>
        </w:r>
      </w:hyperlink>
    </w:p>
    <w:p w14:paraId="5A9C5081" w14:textId="2DCD92DE" w:rsidR="00A866B8" w:rsidRDefault="00A866B8" w:rsidP="0068448F">
      <w:pPr>
        <w:ind w:left="720" w:hanging="720"/>
        <w:rPr>
          <w:rFonts w:eastAsia="Times New Roman" w:cs="Times New Roman"/>
          <w:color w:val="000000" w:themeColor="text1"/>
          <w:szCs w:val="24"/>
        </w:rPr>
      </w:pPr>
      <w:r w:rsidRPr="00291504">
        <w:rPr>
          <w:rFonts w:eastAsia="Times New Roman" w:cs="Times New Roman"/>
          <w:color w:val="000000" w:themeColor="text1"/>
          <w:szCs w:val="24"/>
        </w:rPr>
        <w:t xml:space="preserve">An, B. P., &amp; Taylor, J. L. (2019). </w:t>
      </w:r>
      <w:r w:rsidRPr="00A07AC2">
        <w:rPr>
          <w:rFonts w:eastAsia="Times New Roman" w:cs="Times New Roman"/>
          <w:i/>
          <w:iCs/>
          <w:color w:val="000000" w:themeColor="text1"/>
          <w:szCs w:val="24"/>
        </w:rPr>
        <w:t>A review of empirical studies on dual enrollment: Assessing educational outcomes.</w:t>
      </w:r>
      <w:r w:rsidRPr="00291504">
        <w:rPr>
          <w:rFonts w:eastAsia="Times New Roman" w:cs="Times New Roman"/>
          <w:color w:val="000000" w:themeColor="text1"/>
          <w:szCs w:val="24"/>
        </w:rPr>
        <w:t xml:space="preserve"> </w:t>
      </w:r>
      <w:r w:rsidR="001B2805" w:rsidRPr="00A07AC2">
        <w:rPr>
          <w:rFonts w:eastAsia="Times New Roman" w:cs="Times New Roman"/>
          <w:color w:val="000000" w:themeColor="text1"/>
          <w:szCs w:val="24"/>
        </w:rPr>
        <w:t>National Alliance of Concurrent Enrollment Partnerships.</w:t>
      </w:r>
      <w:r w:rsidR="001B2805">
        <w:rPr>
          <w:rFonts w:eastAsia="Times New Roman" w:cs="Times New Roman"/>
          <w:color w:val="000000" w:themeColor="text1"/>
          <w:szCs w:val="24"/>
        </w:rPr>
        <w:t xml:space="preserve"> </w:t>
      </w:r>
      <w:hyperlink r:id="rId20" w:history="1">
        <w:r w:rsidR="004D1874" w:rsidRPr="004841C6">
          <w:rPr>
            <w:rStyle w:val="Hyperlink"/>
            <w:rFonts w:eastAsia="Times New Roman" w:cs="Times New Roman"/>
            <w:szCs w:val="24"/>
          </w:rPr>
          <w:t>https://www.nacep.org/docs/briefs/An%20%26%20Taylor%20%282019%29.pdf</w:t>
        </w:r>
      </w:hyperlink>
    </w:p>
    <w:p w14:paraId="66C4A29A" w14:textId="728431BA" w:rsidR="005E159D" w:rsidRDefault="005E159D" w:rsidP="002F0C06">
      <w:pPr>
        <w:ind w:left="720" w:hanging="720"/>
        <w:rPr>
          <w:rFonts w:eastAsia="Times New Roman" w:cs="Times New Roman"/>
          <w:color w:val="000000" w:themeColor="text1"/>
          <w:szCs w:val="24"/>
        </w:rPr>
      </w:pPr>
      <w:r>
        <w:rPr>
          <w:rFonts w:eastAsia="Times New Roman" w:cs="Times New Roman"/>
          <w:color w:val="000000" w:themeColor="text1"/>
          <w:szCs w:val="24"/>
        </w:rPr>
        <w:t xml:space="preserve">Anderson, M. L., </w:t>
      </w:r>
      <w:r w:rsidR="008440A4">
        <w:rPr>
          <w:rFonts w:eastAsia="Times New Roman" w:cs="Times New Roman"/>
          <w:color w:val="000000" w:themeColor="text1"/>
          <w:szCs w:val="24"/>
        </w:rPr>
        <w:t>Goodman, J., &amp; Schlossberg, N. K. (2012)</w:t>
      </w:r>
      <w:r w:rsidR="00BA2E8C">
        <w:rPr>
          <w:rFonts w:eastAsia="Times New Roman" w:cs="Times New Roman"/>
          <w:color w:val="000000" w:themeColor="text1"/>
          <w:szCs w:val="24"/>
        </w:rPr>
        <w:t>.</w:t>
      </w:r>
      <w:r w:rsidR="008440A4">
        <w:rPr>
          <w:rFonts w:eastAsia="Times New Roman" w:cs="Times New Roman"/>
          <w:color w:val="000000" w:themeColor="text1"/>
          <w:szCs w:val="24"/>
        </w:rPr>
        <w:t xml:space="preserve"> </w:t>
      </w:r>
      <w:r w:rsidR="008440A4" w:rsidRPr="006D2975">
        <w:rPr>
          <w:rFonts w:eastAsia="Times New Roman" w:cs="Times New Roman"/>
          <w:i/>
          <w:color w:val="000000" w:themeColor="text1"/>
          <w:szCs w:val="24"/>
        </w:rPr>
        <w:t>Counseling adults in transition: Linking Schlo</w:t>
      </w:r>
      <w:r w:rsidR="006D2975" w:rsidRPr="006D2975">
        <w:rPr>
          <w:rFonts w:eastAsia="Times New Roman" w:cs="Times New Roman"/>
          <w:i/>
          <w:color w:val="000000" w:themeColor="text1"/>
          <w:szCs w:val="24"/>
        </w:rPr>
        <w:t>ssberg’s Theory with practice in a diverse world</w:t>
      </w:r>
      <w:r w:rsidR="006D2975">
        <w:rPr>
          <w:rFonts w:eastAsia="Times New Roman" w:cs="Times New Roman"/>
          <w:color w:val="000000" w:themeColor="text1"/>
          <w:szCs w:val="24"/>
        </w:rPr>
        <w:t xml:space="preserve">. </w:t>
      </w:r>
      <w:r w:rsidR="001B2805">
        <w:rPr>
          <w:rFonts w:eastAsia="Times New Roman" w:cs="Times New Roman"/>
          <w:color w:val="000000" w:themeColor="text1"/>
          <w:szCs w:val="24"/>
        </w:rPr>
        <w:t>(4</w:t>
      </w:r>
      <w:r w:rsidR="001B2805" w:rsidRPr="001B2805">
        <w:rPr>
          <w:rFonts w:eastAsia="Times New Roman" w:cs="Times New Roman"/>
          <w:color w:val="000000" w:themeColor="text1"/>
          <w:szCs w:val="24"/>
          <w:vertAlign w:val="superscript"/>
        </w:rPr>
        <w:t>th</w:t>
      </w:r>
      <w:r w:rsidR="001B2805">
        <w:rPr>
          <w:rFonts w:eastAsia="Times New Roman" w:cs="Times New Roman"/>
          <w:color w:val="000000" w:themeColor="text1"/>
          <w:szCs w:val="24"/>
        </w:rPr>
        <w:t xml:space="preserve"> ed.). </w:t>
      </w:r>
      <w:r w:rsidR="006D2975">
        <w:rPr>
          <w:rFonts w:eastAsia="Times New Roman" w:cs="Times New Roman"/>
          <w:color w:val="000000" w:themeColor="text1"/>
          <w:szCs w:val="24"/>
        </w:rPr>
        <w:t>Springer Publishing</w:t>
      </w:r>
      <w:r w:rsidR="001B2805">
        <w:rPr>
          <w:rFonts w:eastAsia="Times New Roman" w:cs="Times New Roman"/>
          <w:color w:val="000000" w:themeColor="text1"/>
          <w:szCs w:val="24"/>
        </w:rPr>
        <w:t>.</w:t>
      </w:r>
    </w:p>
    <w:p w14:paraId="5474A102" w14:textId="1951AE0F" w:rsidR="009B6D0A" w:rsidRDefault="009B6D0A" w:rsidP="002F0C06">
      <w:pPr>
        <w:ind w:left="720" w:hanging="720"/>
        <w:rPr>
          <w:rFonts w:eastAsia="Times New Roman" w:cs="Times New Roman"/>
          <w:color w:val="000000" w:themeColor="text1"/>
          <w:szCs w:val="24"/>
        </w:rPr>
      </w:pPr>
    </w:p>
    <w:p w14:paraId="6D8F313D" w14:textId="77777777" w:rsidR="009B6D0A" w:rsidRDefault="009B6D0A" w:rsidP="002F0C06">
      <w:pPr>
        <w:ind w:left="720" w:hanging="720"/>
        <w:rPr>
          <w:rFonts w:eastAsia="Times New Roman" w:cs="Times New Roman"/>
          <w:color w:val="000000" w:themeColor="text1"/>
          <w:szCs w:val="24"/>
        </w:rPr>
      </w:pPr>
    </w:p>
    <w:p w14:paraId="39C93EEE" w14:textId="5AC039EF" w:rsidR="00EE1192" w:rsidRPr="00D2554B" w:rsidRDefault="00A22DAC" w:rsidP="00A866B8">
      <w:pPr>
        <w:rPr>
          <w:rFonts w:eastAsia="Times New Roman" w:cs="Times New Roman"/>
          <w:iCs/>
          <w:color w:val="000000" w:themeColor="text1"/>
          <w:szCs w:val="24"/>
        </w:rPr>
      </w:pPr>
      <w:r>
        <w:rPr>
          <w:rFonts w:eastAsia="Times New Roman" w:cs="Times New Roman"/>
          <w:color w:val="000000" w:themeColor="text1"/>
          <w:szCs w:val="24"/>
        </w:rPr>
        <w:lastRenderedPageBreak/>
        <w:t>Arnold, B., Knight, H., &amp; Flora, B. (2017)</w:t>
      </w:r>
      <w:r w:rsidR="00BA2E8C">
        <w:rPr>
          <w:rFonts w:eastAsia="Times New Roman" w:cs="Times New Roman"/>
          <w:color w:val="000000" w:themeColor="text1"/>
          <w:szCs w:val="24"/>
        </w:rPr>
        <w:t>.</w:t>
      </w:r>
      <w:r>
        <w:rPr>
          <w:rFonts w:eastAsia="Times New Roman" w:cs="Times New Roman"/>
          <w:color w:val="000000" w:themeColor="text1"/>
          <w:szCs w:val="24"/>
        </w:rPr>
        <w:t xml:space="preserve"> </w:t>
      </w:r>
      <w:r w:rsidRPr="00D2554B">
        <w:rPr>
          <w:rFonts w:eastAsia="Times New Roman" w:cs="Times New Roman"/>
          <w:iCs/>
          <w:color w:val="000000" w:themeColor="text1"/>
          <w:szCs w:val="24"/>
        </w:rPr>
        <w:t>Dual enr</w:t>
      </w:r>
      <w:r w:rsidR="00EE1192" w:rsidRPr="00D2554B">
        <w:rPr>
          <w:rFonts w:eastAsia="Times New Roman" w:cs="Times New Roman"/>
          <w:iCs/>
          <w:color w:val="000000" w:themeColor="text1"/>
          <w:szCs w:val="24"/>
        </w:rPr>
        <w:t>o</w:t>
      </w:r>
      <w:r w:rsidRPr="00D2554B">
        <w:rPr>
          <w:rFonts w:eastAsia="Times New Roman" w:cs="Times New Roman"/>
          <w:iCs/>
          <w:color w:val="000000" w:themeColor="text1"/>
          <w:szCs w:val="24"/>
        </w:rPr>
        <w:t xml:space="preserve">llment student achievement in various </w:t>
      </w:r>
    </w:p>
    <w:p w14:paraId="3930607A" w14:textId="42AED239" w:rsidR="0068448F" w:rsidRDefault="00A22DAC" w:rsidP="00D2554B">
      <w:pPr>
        <w:ind w:left="720"/>
        <w:rPr>
          <w:rFonts w:eastAsia="Times New Roman" w:cs="Times New Roman"/>
          <w:color w:val="000000" w:themeColor="text1"/>
          <w:szCs w:val="24"/>
        </w:rPr>
      </w:pPr>
      <w:r w:rsidRPr="00D2554B">
        <w:rPr>
          <w:rFonts w:eastAsia="Times New Roman" w:cs="Times New Roman"/>
          <w:iCs/>
          <w:color w:val="000000" w:themeColor="text1"/>
          <w:szCs w:val="24"/>
        </w:rPr>
        <w:t>learning environments.</w:t>
      </w:r>
      <w:r>
        <w:rPr>
          <w:rFonts w:eastAsia="Times New Roman" w:cs="Times New Roman"/>
          <w:color w:val="000000" w:themeColor="text1"/>
          <w:szCs w:val="24"/>
        </w:rPr>
        <w:t xml:space="preserve"> </w:t>
      </w:r>
      <w:r w:rsidR="00D2554B">
        <w:rPr>
          <w:rFonts w:eastAsia="Times New Roman" w:cs="Times New Roman"/>
          <w:i/>
          <w:iCs/>
          <w:color w:val="000000" w:themeColor="text1"/>
          <w:szCs w:val="24"/>
        </w:rPr>
        <w:t>Journal of Learning in Higher Education, 13</w:t>
      </w:r>
      <w:r w:rsidR="00D2554B">
        <w:rPr>
          <w:rFonts w:eastAsia="Times New Roman" w:cs="Times New Roman"/>
          <w:color w:val="000000" w:themeColor="text1"/>
          <w:szCs w:val="24"/>
        </w:rPr>
        <w:t xml:space="preserve">(1), 25-32. </w:t>
      </w:r>
      <w:hyperlink r:id="rId21" w:history="1">
        <w:r w:rsidR="00D2554B" w:rsidRPr="007169ED">
          <w:rPr>
            <w:rStyle w:val="Hyperlink"/>
            <w:rFonts w:eastAsia="Times New Roman" w:cs="Times New Roman"/>
            <w:szCs w:val="24"/>
          </w:rPr>
          <w:t>https://files.eric.ed.gov/fulltext/EJ1139694.pdf</w:t>
        </w:r>
      </w:hyperlink>
    </w:p>
    <w:p w14:paraId="216519F9" w14:textId="0449AA9F" w:rsidR="00DA1A80" w:rsidRDefault="00676BA4" w:rsidP="00DA1A80">
      <w:pPr>
        <w:ind w:left="720" w:hanging="720"/>
        <w:rPr>
          <w:rFonts w:cs="Times New Roman"/>
          <w:szCs w:val="24"/>
        </w:rPr>
      </w:pPr>
      <w:r>
        <w:rPr>
          <w:rFonts w:cs="Times New Roman"/>
          <w:szCs w:val="24"/>
        </w:rPr>
        <w:t xml:space="preserve">Bhat, C., &amp; Stevens, M. (2021). College and career readiness group interventions for early high school students. </w:t>
      </w:r>
      <w:r w:rsidR="00DA1A80" w:rsidRPr="00BA2E8C">
        <w:rPr>
          <w:rFonts w:cs="Times New Roman"/>
          <w:i/>
          <w:iCs/>
          <w:szCs w:val="24"/>
        </w:rPr>
        <w:t>Journal for Specialists in Group Work, 46</w:t>
      </w:r>
      <w:r w:rsidR="00DA1A80">
        <w:rPr>
          <w:rFonts w:cs="Times New Roman"/>
          <w:szCs w:val="24"/>
        </w:rPr>
        <w:t xml:space="preserve">(1), 20-31. </w:t>
      </w:r>
      <w:hyperlink r:id="rId22" w:history="1">
        <w:r w:rsidR="00DA1A80" w:rsidRPr="00DA73CD">
          <w:rPr>
            <w:rStyle w:val="Hyperlink"/>
            <w:rFonts w:cs="Times New Roman"/>
            <w:szCs w:val="24"/>
          </w:rPr>
          <w:t>https://doi.org/10.1080/01933922.2020.1856250</w:t>
        </w:r>
      </w:hyperlink>
    </w:p>
    <w:p w14:paraId="0FF1EFA8" w14:textId="6BBFA0AC" w:rsidR="0068448F" w:rsidRPr="00665ADD" w:rsidRDefault="0068448F" w:rsidP="0068448F">
      <w:pPr>
        <w:ind w:left="720" w:hanging="720"/>
        <w:rPr>
          <w:rFonts w:cs="Times New Roman"/>
          <w:i/>
          <w:szCs w:val="24"/>
        </w:rPr>
      </w:pPr>
      <w:r w:rsidRPr="0068448F">
        <w:rPr>
          <w:rFonts w:cs="Times New Roman"/>
          <w:szCs w:val="24"/>
        </w:rPr>
        <w:t>Beach, J.</w:t>
      </w:r>
      <w:r w:rsidR="00A85779">
        <w:rPr>
          <w:rFonts w:cs="Times New Roman"/>
          <w:szCs w:val="24"/>
        </w:rPr>
        <w:t xml:space="preserve"> </w:t>
      </w:r>
      <w:r w:rsidRPr="0068448F">
        <w:rPr>
          <w:rFonts w:cs="Times New Roman"/>
          <w:szCs w:val="24"/>
        </w:rPr>
        <w:t xml:space="preserve">M. (2011). </w:t>
      </w:r>
      <w:r w:rsidRPr="0068448F">
        <w:rPr>
          <w:rFonts w:cs="Times New Roman"/>
          <w:i/>
          <w:szCs w:val="24"/>
        </w:rPr>
        <w:t xml:space="preserve">Gateway to </w:t>
      </w:r>
      <w:r w:rsidR="00210526">
        <w:rPr>
          <w:rFonts w:cs="Times New Roman"/>
          <w:i/>
          <w:szCs w:val="24"/>
        </w:rPr>
        <w:t>o</w:t>
      </w:r>
      <w:r w:rsidRPr="0068448F">
        <w:rPr>
          <w:rFonts w:cs="Times New Roman"/>
          <w:i/>
          <w:szCs w:val="24"/>
        </w:rPr>
        <w:t xml:space="preserve">pportunity? A </w:t>
      </w:r>
      <w:r w:rsidR="00210526">
        <w:rPr>
          <w:rFonts w:cs="Times New Roman"/>
          <w:i/>
          <w:szCs w:val="24"/>
        </w:rPr>
        <w:t>h</w:t>
      </w:r>
      <w:r w:rsidRPr="0068448F">
        <w:rPr>
          <w:rFonts w:cs="Times New Roman"/>
          <w:i/>
          <w:szCs w:val="24"/>
        </w:rPr>
        <w:t xml:space="preserve">istory of the </w:t>
      </w:r>
      <w:r w:rsidR="00210526">
        <w:rPr>
          <w:rFonts w:cs="Times New Roman"/>
          <w:i/>
          <w:szCs w:val="24"/>
        </w:rPr>
        <w:t>c</w:t>
      </w:r>
      <w:r w:rsidRPr="0068448F">
        <w:rPr>
          <w:rFonts w:cs="Times New Roman"/>
          <w:i/>
          <w:szCs w:val="24"/>
        </w:rPr>
        <w:t xml:space="preserve">ommunity </w:t>
      </w:r>
      <w:r w:rsidR="00210526">
        <w:rPr>
          <w:rFonts w:cs="Times New Roman"/>
          <w:i/>
          <w:szCs w:val="24"/>
        </w:rPr>
        <w:t>c</w:t>
      </w:r>
      <w:r w:rsidRPr="0068448F">
        <w:rPr>
          <w:rFonts w:cs="Times New Roman"/>
          <w:i/>
          <w:szCs w:val="24"/>
        </w:rPr>
        <w:t>ollege in the United States.</w:t>
      </w:r>
      <w:r w:rsidRPr="0068448F">
        <w:rPr>
          <w:rFonts w:cs="Times New Roman"/>
          <w:szCs w:val="24"/>
        </w:rPr>
        <w:t xml:space="preserve"> Stylus Publishing</w:t>
      </w:r>
    </w:p>
    <w:p w14:paraId="20EA1173" w14:textId="6E3AE41B" w:rsidR="00B556AB" w:rsidRPr="00DA306D" w:rsidRDefault="00F14512" w:rsidP="00492986">
      <w:pPr>
        <w:ind w:left="720" w:hanging="720"/>
        <w:rPr>
          <w:rFonts w:eastAsia="Times New Roman" w:cs="Times New Roman"/>
          <w:color w:val="000000" w:themeColor="text1"/>
          <w:szCs w:val="24"/>
        </w:rPr>
      </w:pPr>
      <w:r w:rsidRPr="00DA306D">
        <w:rPr>
          <w:szCs w:val="24"/>
        </w:rPr>
        <w:t xml:space="preserve">Bailey, T., Hughes, K. L., &amp; Karp, M. M. (2002). </w:t>
      </w:r>
      <w:r w:rsidRPr="00DA306D">
        <w:rPr>
          <w:i/>
          <w:iCs/>
          <w:szCs w:val="24"/>
        </w:rPr>
        <w:t>What role can dual enrollment programs play in easing the transition between high school and postsecondary education?</w:t>
      </w:r>
      <w:r w:rsidRPr="00DA306D">
        <w:rPr>
          <w:szCs w:val="24"/>
        </w:rPr>
        <w:t xml:space="preserve"> </w:t>
      </w:r>
      <w:r w:rsidR="00C202AE" w:rsidRPr="00DA306D">
        <w:rPr>
          <w:szCs w:val="24"/>
        </w:rPr>
        <w:t>Community College Research Center</w:t>
      </w:r>
      <w:r w:rsidRPr="00DA306D">
        <w:rPr>
          <w:szCs w:val="24"/>
        </w:rPr>
        <w:t>.</w:t>
      </w:r>
      <w:r w:rsidR="00C202AE" w:rsidRPr="00DA306D">
        <w:rPr>
          <w:szCs w:val="24"/>
        </w:rPr>
        <w:t xml:space="preserve"> </w:t>
      </w:r>
      <w:hyperlink r:id="rId23" w:history="1">
        <w:r w:rsidR="00C202AE" w:rsidRPr="00DA306D">
          <w:rPr>
            <w:rStyle w:val="Hyperlink"/>
            <w:szCs w:val="24"/>
          </w:rPr>
          <w:t>https://ccrc.tc.columbia.edu/wp-content/uploads/2002/03/dual-enrollment-easing-transitions.pdf</w:t>
        </w:r>
      </w:hyperlink>
      <w:r w:rsidR="00C202AE" w:rsidRPr="00DA306D">
        <w:rPr>
          <w:szCs w:val="24"/>
        </w:rPr>
        <w:t xml:space="preserve"> </w:t>
      </w:r>
    </w:p>
    <w:p w14:paraId="64369209" w14:textId="2E4ADD82" w:rsidR="00492986" w:rsidRDefault="00492986" w:rsidP="00492986">
      <w:pPr>
        <w:ind w:left="720" w:hanging="720"/>
        <w:rPr>
          <w:rFonts w:eastAsia="Times New Roman" w:cs="Times New Roman"/>
          <w:color w:val="000000" w:themeColor="text1"/>
          <w:szCs w:val="24"/>
        </w:rPr>
      </w:pPr>
      <w:r w:rsidRPr="00DA306D">
        <w:rPr>
          <w:rFonts w:eastAsia="Times New Roman" w:cs="Times New Roman"/>
          <w:color w:val="000000" w:themeColor="text1"/>
          <w:szCs w:val="24"/>
        </w:rPr>
        <w:t>Bailey, T.</w:t>
      </w:r>
      <w:r w:rsidR="00A85779" w:rsidRPr="00DA306D">
        <w:rPr>
          <w:rFonts w:eastAsia="Times New Roman" w:cs="Times New Roman"/>
          <w:color w:val="000000" w:themeColor="text1"/>
          <w:szCs w:val="24"/>
        </w:rPr>
        <w:t xml:space="preserve"> </w:t>
      </w:r>
      <w:r w:rsidRPr="00DA306D">
        <w:rPr>
          <w:rFonts w:eastAsia="Times New Roman" w:cs="Times New Roman"/>
          <w:color w:val="000000" w:themeColor="text1"/>
          <w:szCs w:val="24"/>
        </w:rPr>
        <w:t>R., Hughes, K.</w:t>
      </w:r>
      <w:r w:rsidR="00A85779" w:rsidRPr="00DA306D">
        <w:rPr>
          <w:rFonts w:eastAsia="Times New Roman" w:cs="Times New Roman"/>
          <w:color w:val="000000" w:themeColor="text1"/>
          <w:szCs w:val="24"/>
        </w:rPr>
        <w:t xml:space="preserve"> </w:t>
      </w:r>
      <w:r w:rsidRPr="00DA306D">
        <w:rPr>
          <w:rFonts w:eastAsia="Times New Roman" w:cs="Times New Roman"/>
          <w:color w:val="000000" w:themeColor="text1"/>
          <w:szCs w:val="24"/>
        </w:rPr>
        <w:t>L., &amp; Karp, M.</w:t>
      </w:r>
      <w:r w:rsidR="00A85779" w:rsidRPr="00DA306D">
        <w:rPr>
          <w:rFonts w:eastAsia="Times New Roman" w:cs="Times New Roman"/>
          <w:color w:val="000000" w:themeColor="text1"/>
          <w:szCs w:val="24"/>
        </w:rPr>
        <w:t xml:space="preserve"> </w:t>
      </w:r>
      <w:r w:rsidRPr="00DA306D">
        <w:rPr>
          <w:rFonts w:eastAsia="Times New Roman" w:cs="Times New Roman"/>
          <w:color w:val="000000" w:themeColor="text1"/>
          <w:szCs w:val="24"/>
        </w:rPr>
        <w:t xml:space="preserve">M. (2003). </w:t>
      </w:r>
      <w:r w:rsidRPr="00DA306D">
        <w:rPr>
          <w:rFonts w:eastAsia="Times New Roman" w:cs="Times New Roman"/>
          <w:i/>
          <w:iCs/>
          <w:color w:val="000000" w:themeColor="text1"/>
          <w:szCs w:val="24"/>
        </w:rPr>
        <w:t>Dual enrollment programs: Easing transitions from high school to college.</w:t>
      </w:r>
      <w:r w:rsidR="00E852EE" w:rsidRPr="00DA306D">
        <w:rPr>
          <w:rFonts w:eastAsia="Times New Roman" w:cs="Times New Roman"/>
          <w:color w:val="000000" w:themeColor="text1"/>
          <w:szCs w:val="24"/>
        </w:rPr>
        <w:t xml:space="preserve"> Community College Research Center.</w:t>
      </w:r>
      <w:r w:rsidRPr="00DA306D">
        <w:rPr>
          <w:rFonts w:eastAsia="Times New Roman" w:cs="Times New Roman"/>
          <w:i/>
          <w:iCs/>
          <w:color w:val="000000" w:themeColor="text1"/>
          <w:szCs w:val="24"/>
        </w:rPr>
        <w:t xml:space="preserve"> </w:t>
      </w:r>
      <w:hyperlink r:id="rId24" w:history="1">
        <w:r w:rsidRPr="00DA306D">
          <w:rPr>
            <w:rStyle w:val="Hyperlink"/>
            <w:rFonts w:eastAsia="Times New Roman" w:cs="Times New Roman"/>
            <w:szCs w:val="24"/>
          </w:rPr>
          <w:t>https://files.eric.ed.gov/fulltext/ED475805.pdf</w:t>
        </w:r>
      </w:hyperlink>
    </w:p>
    <w:p w14:paraId="7CDBC2B8" w14:textId="1FA6337B" w:rsidR="00C87F41" w:rsidRDefault="00C87F41" w:rsidP="0068448F">
      <w:pPr>
        <w:ind w:left="720" w:hanging="720"/>
        <w:rPr>
          <w:rFonts w:cs="Times New Roman"/>
          <w:szCs w:val="24"/>
        </w:rPr>
      </w:pPr>
      <w:r w:rsidRPr="002C4C21">
        <w:rPr>
          <w:rFonts w:cs="Times New Roman"/>
          <w:szCs w:val="24"/>
        </w:rPr>
        <w:t xml:space="preserve">Bettinger, </w:t>
      </w:r>
      <w:r w:rsidR="002C4C21" w:rsidRPr="002C4C21">
        <w:rPr>
          <w:rFonts w:cs="Times New Roman"/>
          <w:szCs w:val="24"/>
        </w:rPr>
        <w:t>E</w:t>
      </w:r>
      <w:r w:rsidR="002C4C21">
        <w:rPr>
          <w:rFonts w:cs="Times New Roman"/>
          <w:szCs w:val="24"/>
        </w:rPr>
        <w:t xml:space="preserve">. P., Lu, A., Matheny, K. T., Kienzl, G. S. (2022). Unmet need: Evaluating Pell as a lever for equitable dual enrollment participation and outcomes. </w:t>
      </w:r>
      <w:r w:rsidR="002C4C21" w:rsidRPr="002C4C21">
        <w:rPr>
          <w:rFonts w:cs="Times New Roman"/>
          <w:i/>
          <w:iCs/>
          <w:szCs w:val="24"/>
        </w:rPr>
        <w:t>Educational Evaluation and Policy Analysis, 44</w:t>
      </w:r>
      <w:r w:rsidR="002C4C21">
        <w:rPr>
          <w:rFonts w:cs="Times New Roman"/>
          <w:szCs w:val="24"/>
        </w:rPr>
        <w:t xml:space="preserve">(4), 783-807. </w:t>
      </w:r>
      <w:hyperlink r:id="rId25" w:history="1">
        <w:r w:rsidR="002C4C21" w:rsidRPr="00026F15">
          <w:rPr>
            <w:rStyle w:val="Hyperlink"/>
            <w:rFonts w:cs="Times New Roman"/>
            <w:szCs w:val="24"/>
          </w:rPr>
          <w:t>https://doi.org/10.3102/01623737221091574</w:t>
        </w:r>
      </w:hyperlink>
      <w:r w:rsidR="002C4C21">
        <w:rPr>
          <w:rFonts w:cs="Times New Roman"/>
          <w:szCs w:val="24"/>
        </w:rPr>
        <w:t xml:space="preserve"> </w:t>
      </w:r>
    </w:p>
    <w:p w14:paraId="223AC37D" w14:textId="5AB740E0" w:rsidR="00F14659" w:rsidRDefault="00F14659" w:rsidP="0068448F">
      <w:pPr>
        <w:ind w:left="720" w:hanging="720"/>
        <w:rPr>
          <w:rFonts w:cs="Times New Roman"/>
          <w:szCs w:val="24"/>
        </w:rPr>
      </w:pPr>
      <w:r w:rsidRPr="00DA306D">
        <w:rPr>
          <w:rFonts w:cs="Times New Roman"/>
          <w:szCs w:val="24"/>
        </w:rPr>
        <w:t>Bonilla, S.</w:t>
      </w:r>
      <w:r w:rsidR="00A85779" w:rsidRPr="00DA306D">
        <w:rPr>
          <w:rFonts w:cs="Times New Roman"/>
          <w:szCs w:val="24"/>
        </w:rPr>
        <w:t>,</w:t>
      </w:r>
      <w:r w:rsidRPr="00DA306D">
        <w:rPr>
          <w:rFonts w:cs="Times New Roman"/>
          <w:szCs w:val="24"/>
        </w:rPr>
        <w:t xml:space="preserve"> &amp; Minaya, V. (2024). </w:t>
      </w:r>
      <w:r w:rsidRPr="00DA306D">
        <w:rPr>
          <w:rFonts w:cs="Times New Roman"/>
          <w:i/>
          <w:iCs/>
          <w:szCs w:val="24"/>
        </w:rPr>
        <w:t>Challenges and opportunity: An examination of barriers to postsecondary academic success</w:t>
      </w:r>
      <w:r w:rsidR="002460F9" w:rsidRPr="00DA306D">
        <w:rPr>
          <w:rFonts w:cs="Times New Roman"/>
          <w:i/>
          <w:iCs/>
          <w:szCs w:val="24"/>
        </w:rPr>
        <w:t>.</w:t>
      </w:r>
      <w:r w:rsidR="002460F9" w:rsidRPr="00DA306D">
        <w:rPr>
          <w:rFonts w:cs="Times New Roman"/>
          <w:szCs w:val="24"/>
        </w:rPr>
        <w:t xml:space="preserve"> </w:t>
      </w:r>
      <w:r w:rsidR="004643DA" w:rsidRPr="00DA306D">
        <w:rPr>
          <w:rFonts w:cs="Times New Roman"/>
          <w:szCs w:val="24"/>
        </w:rPr>
        <w:t>(</w:t>
      </w:r>
      <w:r w:rsidR="009143A3" w:rsidRPr="00DA306D">
        <w:rPr>
          <w:rFonts w:cs="Times New Roman"/>
          <w:szCs w:val="24"/>
        </w:rPr>
        <w:t>Ed</w:t>
      </w:r>
      <w:r w:rsidR="00D07041" w:rsidRPr="00DA306D">
        <w:rPr>
          <w:rFonts w:cs="Times New Roman"/>
          <w:szCs w:val="24"/>
        </w:rPr>
        <w:t xml:space="preserve"> </w:t>
      </w:r>
      <w:r w:rsidR="009143A3" w:rsidRPr="00DA306D">
        <w:rPr>
          <w:rFonts w:cs="Times New Roman"/>
          <w:szCs w:val="24"/>
        </w:rPr>
        <w:t>Working</w:t>
      </w:r>
      <w:r w:rsidR="00D07041" w:rsidRPr="00DA306D">
        <w:rPr>
          <w:rFonts w:cs="Times New Roman"/>
          <w:szCs w:val="24"/>
        </w:rPr>
        <w:t xml:space="preserve"> </w:t>
      </w:r>
      <w:r w:rsidR="009143A3" w:rsidRPr="00DA306D">
        <w:rPr>
          <w:rFonts w:cs="Times New Roman"/>
          <w:szCs w:val="24"/>
        </w:rPr>
        <w:t>Paper</w:t>
      </w:r>
      <w:r w:rsidR="00357B15" w:rsidRPr="00DA306D">
        <w:rPr>
          <w:rFonts w:cs="Times New Roman"/>
          <w:szCs w:val="24"/>
        </w:rPr>
        <w:t xml:space="preserve"> No.</w:t>
      </w:r>
      <w:r w:rsidR="009143A3" w:rsidRPr="00DA306D">
        <w:rPr>
          <w:rFonts w:cs="Times New Roman"/>
          <w:szCs w:val="24"/>
        </w:rPr>
        <w:t xml:space="preserve"> 24-925</w:t>
      </w:r>
      <w:r w:rsidR="004643DA" w:rsidRPr="00DA306D">
        <w:rPr>
          <w:rFonts w:cs="Times New Roman"/>
          <w:szCs w:val="24"/>
        </w:rPr>
        <w:t>)</w:t>
      </w:r>
      <w:r w:rsidR="009143A3" w:rsidRPr="00DA306D">
        <w:rPr>
          <w:rFonts w:cs="Times New Roman"/>
          <w:szCs w:val="24"/>
        </w:rPr>
        <w:t xml:space="preserve">. </w:t>
      </w:r>
      <w:r w:rsidR="00DA306D" w:rsidRPr="00DA306D">
        <w:rPr>
          <w:rFonts w:cs="Times New Roman"/>
          <w:szCs w:val="24"/>
        </w:rPr>
        <w:t xml:space="preserve">Annenberg Brown University. </w:t>
      </w:r>
      <w:hyperlink r:id="rId26" w:history="1">
        <w:r w:rsidR="00EA001E" w:rsidRPr="00DA306D">
          <w:rPr>
            <w:rStyle w:val="Hyperlink"/>
            <w:rFonts w:cs="Times New Roman"/>
            <w:szCs w:val="24"/>
          </w:rPr>
          <w:t>https://doi.org/10.26300/0cw6-fe07</w:t>
        </w:r>
      </w:hyperlink>
      <w:r>
        <w:rPr>
          <w:rFonts w:cs="Times New Roman"/>
          <w:szCs w:val="24"/>
        </w:rPr>
        <w:t xml:space="preserve"> </w:t>
      </w:r>
    </w:p>
    <w:p w14:paraId="5264B187" w14:textId="2CB5E4A5" w:rsidR="009B6D0A" w:rsidRDefault="00246780" w:rsidP="004D4722">
      <w:pPr>
        <w:ind w:left="720" w:hanging="720"/>
        <w:rPr>
          <w:rFonts w:eastAsia="Times New Roman" w:cs="Times New Roman"/>
          <w:color w:val="000000" w:themeColor="text1"/>
          <w:szCs w:val="24"/>
        </w:rPr>
      </w:pPr>
      <w:r>
        <w:rPr>
          <w:rFonts w:eastAsia="Times New Roman" w:cs="Times New Roman"/>
          <w:color w:val="000000" w:themeColor="text1"/>
          <w:szCs w:val="24"/>
        </w:rPr>
        <w:lastRenderedPageBreak/>
        <w:t>Burns, K., Ellegood, W.</w:t>
      </w:r>
      <w:r w:rsidR="00661BF6">
        <w:rPr>
          <w:rFonts w:eastAsia="Times New Roman" w:cs="Times New Roman"/>
          <w:color w:val="000000" w:themeColor="text1"/>
          <w:szCs w:val="24"/>
        </w:rPr>
        <w:t xml:space="preserve"> A.</w:t>
      </w:r>
      <w:r>
        <w:rPr>
          <w:rFonts w:eastAsia="Times New Roman" w:cs="Times New Roman"/>
          <w:color w:val="000000" w:themeColor="text1"/>
          <w:szCs w:val="24"/>
        </w:rPr>
        <w:t>,</w:t>
      </w:r>
      <w:r w:rsidR="00661BF6">
        <w:rPr>
          <w:rFonts w:eastAsia="Times New Roman" w:cs="Times New Roman"/>
          <w:color w:val="000000" w:themeColor="text1"/>
          <w:szCs w:val="24"/>
        </w:rPr>
        <w:t xml:space="preserve"> Bracy, J. M. B., Duncan, M., </w:t>
      </w:r>
      <w:r w:rsidR="00A85779">
        <w:rPr>
          <w:rFonts w:eastAsia="Times New Roman" w:cs="Times New Roman"/>
          <w:color w:val="000000" w:themeColor="text1"/>
          <w:szCs w:val="24"/>
        </w:rPr>
        <w:t xml:space="preserve">&amp; </w:t>
      </w:r>
      <w:r w:rsidR="00661BF6">
        <w:rPr>
          <w:rFonts w:eastAsia="Times New Roman" w:cs="Times New Roman"/>
          <w:color w:val="000000" w:themeColor="text1"/>
          <w:szCs w:val="24"/>
        </w:rPr>
        <w:t>Sweeney II, D. C.</w:t>
      </w:r>
      <w:r w:rsidR="00643F5D">
        <w:rPr>
          <w:rFonts w:eastAsia="Times New Roman" w:cs="Times New Roman"/>
          <w:color w:val="000000" w:themeColor="text1"/>
          <w:szCs w:val="24"/>
        </w:rPr>
        <w:t xml:space="preserve"> (2019). Early college credit programs positively impact student success. </w:t>
      </w:r>
      <w:r w:rsidR="00643F5D" w:rsidRPr="00643F5D">
        <w:rPr>
          <w:rFonts w:eastAsia="Times New Roman" w:cs="Times New Roman"/>
          <w:i/>
          <w:iCs/>
          <w:color w:val="000000" w:themeColor="text1"/>
          <w:szCs w:val="24"/>
        </w:rPr>
        <w:t>Journal of</w:t>
      </w:r>
      <w:r w:rsidR="00643F5D">
        <w:rPr>
          <w:rFonts w:eastAsia="Times New Roman" w:cs="Times New Roman"/>
          <w:color w:val="000000" w:themeColor="text1"/>
          <w:szCs w:val="24"/>
        </w:rPr>
        <w:t xml:space="preserve"> </w:t>
      </w:r>
      <w:r w:rsidR="00643F5D" w:rsidRPr="00643F5D">
        <w:rPr>
          <w:rFonts w:eastAsia="Times New Roman" w:cs="Times New Roman"/>
          <w:i/>
          <w:iCs/>
          <w:color w:val="000000" w:themeColor="text1"/>
          <w:szCs w:val="24"/>
        </w:rPr>
        <w:t>Advanced Academics</w:t>
      </w:r>
      <w:r w:rsidR="00643F5D">
        <w:rPr>
          <w:rFonts w:eastAsia="Times New Roman" w:cs="Times New Roman"/>
          <w:i/>
          <w:iCs/>
          <w:color w:val="000000" w:themeColor="text1"/>
          <w:szCs w:val="24"/>
        </w:rPr>
        <w:t xml:space="preserve"> 30</w:t>
      </w:r>
      <w:r w:rsidR="00643F5D">
        <w:rPr>
          <w:rFonts w:eastAsia="Times New Roman" w:cs="Times New Roman"/>
          <w:color w:val="000000" w:themeColor="text1"/>
          <w:szCs w:val="24"/>
        </w:rPr>
        <w:t xml:space="preserve">(1), 27-49. </w:t>
      </w:r>
      <w:hyperlink r:id="rId27" w:history="1">
        <w:r w:rsidR="00643F5D" w:rsidRPr="004D3947">
          <w:rPr>
            <w:rStyle w:val="Hyperlink"/>
            <w:rFonts w:eastAsia="Times New Roman" w:cs="Times New Roman"/>
            <w:szCs w:val="24"/>
          </w:rPr>
          <w:t>http://doi.org/10.1177/1932202X18801274</w:t>
        </w:r>
      </w:hyperlink>
      <w:r w:rsidR="00643F5D">
        <w:rPr>
          <w:rFonts w:eastAsia="Times New Roman" w:cs="Times New Roman"/>
          <w:color w:val="000000" w:themeColor="text1"/>
          <w:szCs w:val="24"/>
        </w:rPr>
        <w:t xml:space="preserve"> </w:t>
      </w:r>
    </w:p>
    <w:p w14:paraId="5F40E9DF" w14:textId="1F09B4AA" w:rsidR="00F529C9" w:rsidRDefault="00A866B8" w:rsidP="00492986">
      <w:pPr>
        <w:ind w:left="720" w:hanging="720"/>
        <w:rPr>
          <w:rFonts w:eastAsia="Times New Roman" w:cs="Times New Roman"/>
          <w:color w:val="000000" w:themeColor="text1"/>
          <w:szCs w:val="24"/>
        </w:rPr>
      </w:pPr>
      <w:r w:rsidRPr="00291504">
        <w:rPr>
          <w:rFonts w:eastAsia="Times New Roman" w:cs="Times New Roman"/>
          <w:color w:val="000000" w:themeColor="text1"/>
          <w:szCs w:val="24"/>
        </w:rPr>
        <w:t xml:space="preserve">Cassidy, L., Keating, K., &amp; Young, V. (2010). </w:t>
      </w:r>
      <w:r w:rsidRPr="00167C8C">
        <w:rPr>
          <w:rFonts w:eastAsia="Times New Roman" w:cs="Times New Roman"/>
          <w:i/>
          <w:iCs/>
          <w:color w:val="000000" w:themeColor="text1"/>
          <w:szCs w:val="24"/>
        </w:rPr>
        <w:t xml:space="preserve">Dual enrollment: </w:t>
      </w:r>
      <w:r w:rsidR="001965BA" w:rsidRPr="00167C8C">
        <w:rPr>
          <w:rFonts w:eastAsia="Times New Roman" w:cs="Times New Roman"/>
          <w:i/>
          <w:iCs/>
          <w:color w:val="000000" w:themeColor="text1"/>
          <w:szCs w:val="24"/>
        </w:rPr>
        <w:t>L</w:t>
      </w:r>
      <w:r w:rsidRPr="00167C8C">
        <w:rPr>
          <w:rFonts w:eastAsia="Times New Roman" w:cs="Times New Roman"/>
          <w:i/>
          <w:iCs/>
          <w:color w:val="000000" w:themeColor="text1"/>
          <w:szCs w:val="24"/>
        </w:rPr>
        <w:t xml:space="preserve">essons learned on </w:t>
      </w:r>
      <w:r w:rsidRPr="00167C8C">
        <w:rPr>
          <w:rFonts w:eastAsia="Times New Roman" w:cs="Times New Roman"/>
          <w:i/>
          <w:iCs/>
          <w:color w:val="000000" w:themeColor="text1"/>
          <w:szCs w:val="24"/>
        </w:rPr>
        <w:br/>
        <w:t xml:space="preserve"> school-level implementation</w:t>
      </w:r>
      <w:r w:rsidRPr="00291504">
        <w:rPr>
          <w:rFonts w:eastAsia="Times New Roman" w:cs="Times New Roman"/>
          <w:color w:val="000000" w:themeColor="text1"/>
          <w:szCs w:val="24"/>
        </w:rPr>
        <w:t xml:space="preserve">. </w:t>
      </w:r>
      <w:bookmarkEnd w:id="108"/>
      <w:r w:rsidR="00F529C9">
        <w:rPr>
          <w:rFonts w:eastAsia="Times New Roman" w:cs="Times New Roman"/>
          <w:color w:val="000000" w:themeColor="text1"/>
          <w:szCs w:val="24"/>
        </w:rPr>
        <w:fldChar w:fldCharType="begin"/>
      </w:r>
      <w:r w:rsidR="00F529C9">
        <w:rPr>
          <w:rFonts w:eastAsia="Times New Roman" w:cs="Times New Roman"/>
          <w:color w:val="000000" w:themeColor="text1"/>
          <w:szCs w:val="24"/>
        </w:rPr>
        <w:instrText xml:space="preserve"> HYPERLINK "</w:instrText>
      </w:r>
      <w:r w:rsidR="00F529C9" w:rsidRPr="00F529C9">
        <w:rPr>
          <w:rFonts w:eastAsia="Times New Roman" w:cs="Times New Roman"/>
          <w:color w:val="000000" w:themeColor="text1"/>
          <w:szCs w:val="24"/>
        </w:rPr>
        <w:instrText>https://careerladdersproject.org/wp-content/uploads/2020/11/dual-enrollment-lessons-learned-on-school-level-implementation.pdf</w:instrText>
      </w:r>
      <w:r w:rsidR="00F529C9">
        <w:rPr>
          <w:rFonts w:eastAsia="Times New Roman" w:cs="Times New Roman"/>
          <w:color w:val="000000" w:themeColor="text1"/>
          <w:szCs w:val="24"/>
        </w:rPr>
        <w:instrText xml:space="preserve">" </w:instrText>
      </w:r>
      <w:r w:rsidR="00F529C9">
        <w:rPr>
          <w:rFonts w:eastAsia="Times New Roman" w:cs="Times New Roman"/>
          <w:color w:val="000000" w:themeColor="text1"/>
          <w:szCs w:val="24"/>
        </w:rPr>
        <w:fldChar w:fldCharType="separate"/>
      </w:r>
      <w:r w:rsidR="00F529C9" w:rsidRPr="00077706">
        <w:rPr>
          <w:rStyle w:val="Hyperlink"/>
          <w:rFonts w:eastAsia="Times New Roman" w:cs="Times New Roman"/>
          <w:szCs w:val="24"/>
        </w:rPr>
        <w:t>https://careerladdersproject.org/wp-content/uploads/2020/11/dual-enrollment-lessons-learned-on-school-level-implementation.pdf</w:t>
      </w:r>
      <w:r w:rsidR="00F529C9">
        <w:rPr>
          <w:rFonts w:eastAsia="Times New Roman" w:cs="Times New Roman"/>
          <w:color w:val="000000" w:themeColor="text1"/>
          <w:szCs w:val="24"/>
        </w:rPr>
        <w:fldChar w:fldCharType="end"/>
      </w:r>
    </w:p>
    <w:p w14:paraId="24ACE6EE" w14:textId="319A83CB" w:rsidR="00C70C9D" w:rsidRDefault="00C70C9D" w:rsidP="00F64125">
      <w:pPr>
        <w:ind w:left="720" w:hanging="720"/>
        <w:rPr>
          <w:rFonts w:cs="Times New Roman"/>
          <w:color w:val="000000" w:themeColor="text1"/>
          <w:szCs w:val="24"/>
        </w:rPr>
      </w:pPr>
      <w:r>
        <w:rPr>
          <w:rFonts w:cs="Times New Roman"/>
          <w:color w:val="000000" w:themeColor="text1"/>
          <w:szCs w:val="24"/>
        </w:rPr>
        <w:t>Cho, S.</w:t>
      </w:r>
      <w:r w:rsidR="00C939C3">
        <w:rPr>
          <w:rFonts w:cs="Times New Roman"/>
          <w:color w:val="000000" w:themeColor="text1"/>
          <w:szCs w:val="24"/>
        </w:rPr>
        <w:t>,</w:t>
      </w:r>
      <w:r>
        <w:rPr>
          <w:rFonts w:cs="Times New Roman"/>
          <w:color w:val="000000" w:themeColor="text1"/>
          <w:szCs w:val="24"/>
        </w:rPr>
        <w:t xml:space="preserve"> &amp; Karp, M. M. (2013). Student success courses in the community college: Early enrollment and educational outcomes. </w:t>
      </w:r>
      <w:r w:rsidRPr="00C70C9D">
        <w:rPr>
          <w:rFonts w:cs="Times New Roman"/>
          <w:i/>
          <w:iCs/>
          <w:color w:val="000000" w:themeColor="text1"/>
          <w:szCs w:val="24"/>
        </w:rPr>
        <w:t>Community College Review</w:t>
      </w:r>
      <w:r w:rsidR="000F2118">
        <w:rPr>
          <w:rFonts w:cs="Times New Roman"/>
          <w:i/>
          <w:iCs/>
          <w:color w:val="000000" w:themeColor="text1"/>
          <w:szCs w:val="24"/>
        </w:rPr>
        <w:t>,</w:t>
      </w:r>
      <w:r w:rsidRPr="00C70C9D">
        <w:rPr>
          <w:rFonts w:cs="Times New Roman"/>
          <w:i/>
          <w:iCs/>
          <w:color w:val="000000" w:themeColor="text1"/>
          <w:szCs w:val="24"/>
        </w:rPr>
        <w:t xml:space="preserve"> 41</w:t>
      </w:r>
      <w:r>
        <w:rPr>
          <w:rFonts w:cs="Times New Roman"/>
          <w:color w:val="000000" w:themeColor="text1"/>
          <w:szCs w:val="24"/>
        </w:rPr>
        <w:t xml:space="preserve">(1), 86-103. </w:t>
      </w:r>
      <w:hyperlink r:id="rId28" w:history="1">
        <w:r w:rsidRPr="00577E79">
          <w:rPr>
            <w:rStyle w:val="Hyperlink"/>
            <w:rFonts w:cs="Times New Roman"/>
            <w:szCs w:val="24"/>
          </w:rPr>
          <w:t>https://doi.org/10.1177/0091552112472227</w:t>
        </w:r>
      </w:hyperlink>
      <w:r>
        <w:rPr>
          <w:rFonts w:cs="Times New Roman"/>
          <w:color w:val="000000" w:themeColor="text1"/>
          <w:szCs w:val="24"/>
        </w:rPr>
        <w:t xml:space="preserve"> </w:t>
      </w:r>
    </w:p>
    <w:p w14:paraId="1D0D1777" w14:textId="52E8A67C" w:rsidR="000429FD" w:rsidRDefault="000429FD" w:rsidP="00A866B8">
      <w:pPr>
        <w:ind w:left="720" w:hanging="720"/>
        <w:rPr>
          <w:rFonts w:cs="Times New Roman"/>
          <w:color w:val="000000" w:themeColor="text1"/>
          <w:szCs w:val="24"/>
        </w:rPr>
      </w:pPr>
      <w:r w:rsidRPr="0077602D">
        <w:rPr>
          <w:rFonts w:cs="Times New Roman"/>
          <w:color w:val="000000" w:themeColor="text1"/>
          <w:szCs w:val="24"/>
        </w:rPr>
        <w:t xml:space="preserve">Clayton, G. (2021). Advanced placement and concurrent enrollment substitution effects. </w:t>
      </w:r>
      <w:r w:rsidRPr="0077602D">
        <w:rPr>
          <w:rFonts w:cs="Times New Roman"/>
          <w:i/>
          <w:iCs/>
          <w:color w:val="000000" w:themeColor="text1"/>
          <w:szCs w:val="24"/>
        </w:rPr>
        <w:t>Journal of Advanced Academics, 32</w:t>
      </w:r>
      <w:r w:rsidRPr="0077602D">
        <w:rPr>
          <w:rFonts w:cs="Times New Roman"/>
          <w:color w:val="000000" w:themeColor="text1"/>
          <w:szCs w:val="24"/>
        </w:rPr>
        <w:t xml:space="preserve">(3), 380-396. </w:t>
      </w:r>
      <w:hyperlink r:id="rId29" w:history="1">
        <w:r w:rsidRPr="0077602D">
          <w:rPr>
            <w:rStyle w:val="Hyperlink"/>
            <w:rFonts w:cs="Times New Roman"/>
            <w:szCs w:val="24"/>
          </w:rPr>
          <w:t>https://doi.org/10.1177/1932202X211004901</w:t>
        </w:r>
      </w:hyperlink>
      <w:r>
        <w:rPr>
          <w:rFonts w:cs="Times New Roman"/>
          <w:color w:val="000000" w:themeColor="text1"/>
          <w:szCs w:val="24"/>
        </w:rPr>
        <w:t xml:space="preserve"> </w:t>
      </w:r>
    </w:p>
    <w:p w14:paraId="6A3D71C1" w14:textId="0E924927" w:rsidR="00A866B8" w:rsidRPr="00291504" w:rsidRDefault="00A866B8" w:rsidP="00A866B8">
      <w:pPr>
        <w:ind w:left="720" w:hanging="720"/>
        <w:rPr>
          <w:rFonts w:cs="Times New Roman"/>
          <w:color w:val="000000" w:themeColor="text1"/>
          <w:szCs w:val="24"/>
        </w:rPr>
      </w:pPr>
      <w:r w:rsidRPr="00291504">
        <w:rPr>
          <w:rFonts w:cs="Times New Roman"/>
          <w:color w:val="000000" w:themeColor="text1"/>
          <w:szCs w:val="24"/>
        </w:rPr>
        <w:t>Cohen, A.</w:t>
      </w:r>
      <w:r w:rsidR="00C939C3">
        <w:rPr>
          <w:rFonts w:cs="Times New Roman"/>
          <w:color w:val="000000" w:themeColor="text1"/>
          <w:szCs w:val="24"/>
        </w:rPr>
        <w:t xml:space="preserve"> </w:t>
      </w:r>
      <w:r w:rsidRPr="00291504">
        <w:rPr>
          <w:rFonts w:cs="Times New Roman"/>
          <w:color w:val="000000" w:themeColor="text1"/>
          <w:szCs w:val="24"/>
        </w:rPr>
        <w:t>M., Brawer, F.</w:t>
      </w:r>
      <w:r w:rsidR="00C939C3">
        <w:rPr>
          <w:rFonts w:cs="Times New Roman"/>
          <w:color w:val="000000" w:themeColor="text1"/>
          <w:szCs w:val="24"/>
        </w:rPr>
        <w:t xml:space="preserve"> </w:t>
      </w:r>
      <w:r w:rsidRPr="00291504">
        <w:rPr>
          <w:rFonts w:cs="Times New Roman"/>
          <w:color w:val="000000" w:themeColor="text1"/>
          <w:szCs w:val="24"/>
        </w:rPr>
        <w:t>B., &amp; Kisker, C.</w:t>
      </w:r>
      <w:r w:rsidR="00C939C3">
        <w:rPr>
          <w:rFonts w:cs="Times New Roman"/>
          <w:color w:val="000000" w:themeColor="text1"/>
          <w:szCs w:val="24"/>
        </w:rPr>
        <w:t xml:space="preserve"> </w:t>
      </w:r>
      <w:r w:rsidRPr="00291504">
        <w:rPr>
          <w:rFonts w:cs="Times New Roman"/>
          <w:color w:val="000000" w:themeColor="text1"/>
          <w:szCs w:val="24"/>
        </w:rPr>
        <w:t xml:space="preserve">B. (2014). </w:t>
      </w:r>
      <w:r w:rsidRPr="00291504">
        <w:rPr>
          <w:rFonts w:cs="Times New Roman"/>
          <w:i/>
          <w:color w:val="000000" w:themeColor="text1"/>
          <w:szCs w:val="24"/>
        </w:rPr>
        <w:t xml:space="preserve">The </w:t>
      </w:r>
      <w:r w:rsidR="00564EAC">
        <w:rPr>
          <w:rFonts w:cs="Times New Roman"/>
          <w:i/>
          <w:color w:val="000000" w:themeColor="text1"/>
          <w:szCs w:val="24"/>
        </w:rPr>
        <w:t>A</w:t>
      </w:r>
      <w:r w:rsidRPr="00291504">
        <w:rPr>
          <w:rFonts w:cs="Times New Roman"/>
          <w:i/>
          <w:color w:val="000000" w:themeColor="text1"/>
          <w:szCs w:val="24"/>
        </w:rPr>
        <w:t>merican community college.</w:t>
      </w:r>
      <w:r w:rsidRPr="00291504">
        <w:rPr>
          <w:rFonts w:cs="Times New Roman"/>
          <w:color w:val="000000" w:themeColor="text1"/>
          <w:szCs w:val="24"/>
        </w:rPr>
        <w:t xml:space="preserve"> </w:t>
      </w:r>
      <w:r w:rsidR="001C1D31">
        <w:rPr>
          <w:rFonts w:cs="Times New Roman"/>
          <w:color w:val="000000" w:themeColor="text1"/>
          <w:szCs w:val="24"/>
        </w:rPr>
        <w:t>(6</w:t>
      </w:r>
      <w:r w:rsidR="001C1D31" w:rsidRPr="001C1D31">
        <w:rPr>
          <w:rFonts w:cs="Times New Roman"/>
          <w:color w:val="000000" w:themeColor="text1"/>
          <w:szCs w:val="24"/>
          <w:vertAlign w:val="superscript"/>
        </w:rPr>
        <w:t>th</w:t>
      </w:r>
      <w:r w:rsidR="001C1D31">
        <w:rPr>
          <w:rFonts w:cs="Times New Roman"/>
          <w:color w:val="000000" w:themeColor="text1"/>
          <w:szCs w:val="24"/>
        </w:rPr>
        <w:t xml:space="preserve"> ed.). </w:t>
      </w:r>
      <w:r w:rsidR="007520E9">
        <w:rPr>
          <w:rFonts w:cs="Times New Roman"/>
          <w:color w:val="000000" w:themeColor="text1"/>
          <w:szCs w:val="24"/>
        </w:rPr>
        <w:t>Jossey-Bass.</w:t>
      </w:r>
    </w:p>
    <w:p w14:paraId="533BD253" w14:textId="51CA2350" w:rsidR="006C26A8" w:rsidRPr="000547FB" w:rsidRDefault="006C26A8" w:rsidP="007461A5">
      <w:pPr>
        <w:ind w:left="720" w:hanging="720"/>
        <w:rPr>
          <w:rFonts w:eastAsia="Times New Roman" w:cs="Times New Roman"/>
          <w:szCs w:val="24"/>
        </w:rPr>
      </w:pPr>
      <w:r w:rsidRPr="000547FB">
        <w:rPr>
          <w:rFonts w:eastAsia="Times New Roman" w:cs="Times New Roman"/>
          <w:szCs w:val="24"/>
        </w:rPr>
        <w:t xml:space="preserve">College for TN. (n.d.). </w:t>
      </w:r>
      <w:r w:rsidRPr="000547FB">
        <w:rPr>
          <w:rFonts w:eastAsia="Times New Roman" w:cs="Times New Roman"/>
          <w:i/>
          <w:iCs/>
          <w:szCs w:val="24"/>
        </w:rPr>
        <w:t>Dual enrollment grant.</w:t>
      </w:r>
      <w:r w:rsidR="000547FB" w:rsidRPr="000547FB">
        <w:rPr>
          <w:rFonts w:eastAsia="Times New Roman" w:cs="Times New Roman"/>
          <w:i/>
          <w:iCs/>
          <w:szCs w:val="24"/>
        </w:rPr>
        <w:t xml:space="preserve"> </w:t>
      </w:r>
      <w:r w:rsidR="008C35EB" w:rsidRPr="000547FB">
        <w:rPr>
          <w:rFonts w:eastAsia="Times New Roman" w:cs="Times New Roman"/>
          <w:szCs w:val="24"/>
        </w:rPr>
        <w:t>Retrieved</w:t>
      </w:r>
      <w:r w:rsidR="000547FB" w:rsidRPr="000547FB">
        <w:rPr>
          <w:rFonts w:eastAsia="Times New Roman" w:cs="Times New Roman"/>
          <w:szCs w:val="24"/>
        </w:rPr>
        <w:t xml:space="preserve"> August 1, 2025, from </w:t>
      </w:r>
      <w:hyperlink r:id="rId30" w:history="1">
        <w:r w:rsidR="000547FB" w:rsidRPr="000547FB">
          <w:rPr>
            <w:rStyle w:val="Hyperlink"/>
            <w:rFonts w:eastAsia="Times New Roman" w:cs="Times New Roman"/>
            <w:szCs w:val="24"/>
          </w:rPr>
          <w:t>https://www.collegefortn.org/dualenrollment/</w:t>
        </w:r>
      </w:hyperlink>
      <w:r w:rsidRPr="000547FB">
        <w:rPr>
          <w:rFonts w:eastAsia="Times New Roman" w:cs="Times New Roman"/>
          <w:szCs w:val="24"/>
        </w:rPr>
        <w:t xml:space="preserve"> </w:t>
      </w:r>
    </w:p>
    <w:p w14:paraId="2C95DC2D" w14:textId="7B915724" w:rsidR="00CB1F5F" w:rsidRDefault="00CB1F5F" w:rsidP="007461A5">
      <w:pPr>
        <w:ind w:left="720" w:hanging="720"/>
        <w:rPr>
          <w:rFonts w:eastAsia="Times New Roman" w:cs="Times New Roman"/>
          <w:szCs w:val="24"/>
        </w:rPr>
      </w:pPr>
      <w:r>
        <w:rPr>
          <w:rFonts w:eastAsia="Times New Roman" w:cs="Times New Roman"/>
          <w:szCs w:val="24"/>
        </w:rPr>
        <w:t xml:space="preserve">College for TN. (2025). </w:t>
      </w:r>
      <w:r w:rsidRPr="00CB1F5F">
        <w:rPr>
          <w:rFonts w:eastAsia="Times New Roman" w:cs="Times New Roman"/>
          <w:i/>
          <w:iCs/>
          <w:szCs w:val="24"/>
        </w:rPr>
        <w:t>Dual enrollment grant (deg) overview.</w:t>
      </w:r>
      <w:r>
        <w:rPr>
          <w:rFonts w:eastAsia="Times New Roman" w:cs="Times New Roman"/>
          <w:szCs w:val="24"/>
        </w:rPr>
        <w:t xml:space="preserve"> </w:t>
      </w:r>
      <w:hyperlink r:id="rId31" w:history="1">
        <w:r w:rsidRPr="00BB4C3C">
          <w:rPr>
            <w:rStyle w:val="Hyperlink"/>
            <w:rFonts w:eastAsia="Times New Roman" w:cs="Times New Roman"/>
            <w:szCs w:val="24"/>
          </w:rPr>
          <w:t>https://www.collegefortn.org/wp-content/uploads/2025/07/DEG-2025-2026.pdf</w:t>
        </w:r>
      </w:hyperlink>
      <w:r>
        <w:rPr>
          <w:rFonts w:eastAsia="Times New Roman" w:cs="Times New Roman"/>
          <w:szCs w:val="24"/>
        </w:rPr>
        <w:t xml:space="preserve"> </w:t>
      </w:r>
    </w:p>
    <w:p w14:paraId="6D09238D" w14:textId="04542ED9" w:rsidR="007461A5" w:rsidRPr="00FA2DB3" w:rsidRDefault="007461A5" w:rsidP="007461A5">
      <w:pPr>
        <w:ind w:left="720" w:hanging="720"/>
        <w:rPr>
          <w:rFonts w:eastAsia="Times New Roman" w:cs="Times New Roman"/>
          <w:szCs w:val="24"/>
        </w:rPr>
      </w:pPr>
      <w:r w:rsidRPr="00FA2DB3">
        <w:rPr>
          <w:rFonts w:eastAsia="Times New Roman" w:cs="Times New Roman"/>
          <w:szCs w:val="24"/>
        </w:rPr>
        <w:t xml:space="preserve">Community College Research Center (n.d.). </w:t>
      </w:r>
      <w:r w:rsidRPr="00FA2DB3">
        <w:rPr>
          <w:rFonts w:eastAsia="Times New Roman" w:cs="Times New Roman"/>
          <w:i/>
          <w:iCs/>
          <w:szCs w:val="24"/>
        </w:rPr>
        <w:t>Dual enrollment.</w:t>
      </w:r>
      <w:r w:rsidRPr="00FA2DB3">
        <w:rPr>
          <w:rFonts w:eastAsia="Times New Roman" w:cs="Times New Roman"/>
          <w:szCs w:val="24"/>
        </w:rPr>
        <w:t xml:space="preserve"> </w:t>
      </w:r>
      <w:r w:rsidR="00FA2DB3" w:rsidRPr="00FA2DB3">
        <w:rPr>
          <w:rFonts w:eastAsia="Times New Roman" w:cs="Times New Roman"/>
          <w:szCs w:val="24"/>
        </w:rPr>
        <w:t>Retrieved July, 1, 2025 from</w:t>
      </w:r>
      <w:r w:rsidR="008F5950">
        <w:rPr>
          <w:rFonts w:eastAsia="Times New Roman" w:cs="Times New Roman"/>
          <w:szCs w:val="24"/>
        </w:rPr>
        <w:t xml:space="preserve"> </w:t>
      </w:r>
      <w:hyperlink r:id="rId32" w:history="1">
        <w:r w:rsidR="008F5950" w:rsidRPr="00026F15">
          <w:rPr>
            <w:rStyle w:val="Hyperlink"/>
            <w:rFonts w:eastAsia="Times New Roman" w:cs="Times New Roman"/>
            <w:szCs w:val="24"/>
          </w:rPr>
          <w:t>https://ccrc.tc.columbia.edu/research/high-school-to-college.html</w:t>
        </w:r>
      </w:hyperlink>
      <w:r w:rsidRPr="00FA2DB3">
        <w:rPr>
          <w:rFonts w:eastAsia="Times New Roman" w:cs="Times New Roman"/>
          <w:szCs w:val="24"/>
        </w:rPr>
        <w:t xml:space="preserve"> </w:t>
      </w:r>
    </w:p>
    <w:p w14:paraId="4D33666A" w14:textId="430E9585" w:rsidR="00FA2DB3" w:rsidRDefault="00B968C4" w:rsidP="007461A5">
      <w:pPr>
        <w:ind w:left="720" w:hanging="720"/>
        <w:rPr>
          <w:rFonts w:cs="Times New Roman"/>
          <w:szCs w:val="24"/>
        </w:rPr>
      </w:pPr>
      <w:r w:rsidRPr="00FA2DB3">
        <w:rPr>
          <w:rFonts w:cs="Times New Roman"/>
          <w:color w:val="000000" w:themeColor="text1"/>
          <w:szCs w:val="24"/>
        </w:rPr>
        <w:t>Community College Research Center. (201</w:t>
      </w:r>
      <w:r w:rsidR="000C3F99" w:rsidRPr="00FA2DB3">
        <w:rPr>
          <w:rFonts w:cs="Times New Roman"/>
          <w:color w:val="000000" w:themeColor="text1"/>
          <w:szCs w:val="24"/>
        </w:rPr>
        <w:t>2</w:t>
      </w:r>
      <w:r w:rsidRPr="00FA2DB3">
        <w:rPr>
          <w:rFonts w:cs="Times New Roman"/>
          <w:color w:val="000000" w:themeColor="text1"/>
          <w:szCs w:val="24"/>
        </w:rPr>
        <w:t xml:space="preserve">). </w:t>
      </w:r>
      <w:r w:rsidRPr="00FA2DB3">
        <w:rPr>
          <w:rFonts w:cs="Times New Roman"/>
          <w:i/>
          <w:iCs/>
          <w:color w:val="000000" w:themeColor="text1"/>
          <w:szCs w:val="24"/>
        </w:rPr>
        <w:t>What we know about dual enrollment.</w:t>
      </w:r>
      <w:r w:rsidRPr="00FA2DB3">
        <w:rPr>
          <w:rFonts w:cs="Times New Roman"/>
          <w:color w:val="000000" w:themeColor="text1"/>
          <w:szCs w:val="24"/>
        </w:rPr>
        <w:t xml:space="preserve"> </w:t>
      </w:r>
      <w:hyperlink r:id="rId33" w:history="1">
        <w:r w:rsidR="00FA2DB3" w:rsidRPr="00026F15">
          <w:rPr>
            <w:rStyle w:val="Hyperlink"/>
            <w:rFonts w:cs="Times New Roman"/>
            <w:szCs w:val="24"/>
          </w:rPr>
          <w:t>https://ccrc.tc.columbia.edu/wp-content/uploads/2012/03/dual-enrollment-research-overview.pdf</w:t>
        </w:r>
      </w:hyperlink>
    </w:p>
    <w:p w14:paraId="2C12E4E7" w14:textId="237EA958" w:rsidR="007461A5" w:rsidRDefault="00F0431B" w:rsidP="007461A5">
      <w:pPr>
        <w:ind w:left="720" w:hanging="720"/>
        <w:rPr>
          <w:rFonts w:cs="Times New Roman"/>
          <w:color w:val="000000" w:themeColor="text1"/>
          <w:szCs w:val="24"/>
        </w:rPr>
      </w:pPr>
      <w:r>
        <w:rPr>
          <w:rFonts w:cs="Times New Roman"/>
          <w:color w:val="000000" w:themeColor="text1"/>
          <w:szCs w:val="24"/>
        </w:rPr>
        <w:lastRenderedPageBreak/>
        <w:t xml:space="preserve">Community College Research Center. (2024). </w:t>
      </w:r>
      <w:r w:rsidRPr="0035799D">
        <w:rPr>
          <w:rFonts w:cs="Times New Roman"/>
          <w:i/>
          <w:iCs/>
          <w:color w:val="000000" w:themeColor="text1"/>
          <w:szCs w:val="24"/>
        </w:rPr>
        <w:t>Understanding dual enrollment</w:t>
      </w:r>
      <w:r w:rsidR="0035799D" w:rsidRPr="0035799D">
        <w:rPr>
          <w:rFonts w:cs="Times New Roman"/>
          <w:i/>
          <w:iCs/>
          <w:color w:val="000000" w:themeColor="text1"/>
          <w:szCs w:val="24"/>
        </w:rPr>
        <w:t>.</w:t>
      </w:r>
      <w:r>
        <w:rPr>
          <w:rFonts w:cs="Times New Roman"/>
          <w:color w:val="000000" w:themeColor="text1"/>
          <w:szCs w:val="24"/>
        </w:rPr>
        <w:t xml:space="preserve"> </w:t>
      </w:r>
      <w:hyperlink r:id="rId34" w:history="1">
        <w:r w:rsidRPr="00DA73CD">
          <w:rPr>
            <w:rStyle w:val="Hyperlink"/>
            <w:rFonts w:cs="Times New Roman"/>
            <w:szCs w:val="24"/>
          </w:rPr>
          <w:t>https://ccrc.tc.columbia.edu/wp-content/uploads/2024/04/understanding-dual-enrollment.pdf</w:t>
        </w:r>
      </w:hyperlink>
    </w:p>
    <w:p w14:paraId="2957A57D" w14:textId="5746A33D" w:rsidR="00764175" w:rsidRDefault="00764175" w:rsidP="00764175">
      <w:pPr>
        <w:ind w:left="720" w:hanging="720"/>
        <w:rPr>
          <w:rFonts w:cs="Times New Roman"/>
          <w:color w:val="000000" w:themeColor="text1"/>
          <w:szCs w:val="24"/>
        </w:rPr>
      </w:pPr>
      <w:r w:rsidRPr="00125AC4">
        <w:rPr>
          <w:rFonts w:cs="Times New Roman"/>
          <w:color w:val="000000" w:themeColor="text1"/>
          <w:szCs w:val="24"/>
        </w:rPr>
        <w:t xml:space="preserve">Complete College Georgia. (2021). </w:t>
      </w:r>
      <w:r w:rsidRPr="00125AC4">
        <w:rPr>
          <w:rFonts w:cs="Times New Roman"/>
          <w:i/>
          <w:iCs/>
          <w:color w:val="000000" w:themeColor="text1"/>
          <w:szCs w:val="24"/>
        </w:rPr>
        <w:t xml:space="preserve">The momentum </w:t>
      </w:r>
      <w:proofErr w:type="gramStart"/>
      <w:r w:rsidRPr="00125AC4">
        <w:rPr>
          <w:rFonts w:cs="Times New Roman"/>
          <w:i/>
          <w:iCs/>
          <w:color w:val="000000" w:themeColor="text1"/>
          <w:szCs w:val="24"/>
        </w:rPr>
        <w:t>approach</w:t>
      </w:r>
      <w:proofErr w:type="gramEnd"/>
      <w:r w:rsidRPr="00125AC4">
        <w:rPr>
          <w:rFonts w:cs="Times New Roman"/>
          <w:i/>
          <w:iCs/>
          <w:color w:val="000000" w:themeColor="text1"/>
          <w:szCs w:val="24"/>
        </w:rPr>
        <w:t>.</w:t>
      </w:r>
      <w:r w:rsidRPr="00125AC4">
        <w:rPr>
          <w:rFonts w:cs="Times New Roman"/>
          <w:color w:val="000000" w:themeColor="text1"/>
          <w:szCs w:val="24"/>
        </w:rPr>
        <w:t xml:space="preserve"> </w:t>
      </w:r>
      <w:r w:rsidR="00FA2DB3" w:rsidRPr="00125AC4">
        <w:rPr>
          <w:rFonts w:cs="Times New Roman"/>
          <w:color w:val="000000" w:themeColor="text1"/>
          <w:szCs w:val="24"/>
        </w:rPr>
        <w:t xml:space="preserve">Retrieved July 2, 2025, </w:t>
      </w:r>
      <w:r w:rsidR="008F5950">
        <w:rPr>
          <w:rFonts w:cs="Times New Roman"/>
          <w:color w:val="000000" w:themeColor="text1"/>
          <w:szCs w:val="24"/>
        </w:rPr>
        <w:t xml:space="preserve">from </w:t>
      </w:r>
      <w:hyperlink r:id="rId35" w:history="1">
        <w:r w:rsidR="008F5950" w:rsidRPr="00026F15">
          <w:rPr>
            <w:rStyle w:val="Hyperlink"/>
            <w:rFonts w:cs="Times New Roman"/>
            <w:szCs w:val="24"/>
          </w:rPr>
          <w:t>https://completega.org/momentum-approach</w:t>
        </w:r>
      </w:hyperlink>
      <w:r w:rsidR="002D68FA">
        <w:rPr>
          <w:rFonts w:cs="Times New Roman"/>
          <w:color w:val="000000" w:themeColor="text1"/>
          <w:szCs w:val="24"/>
        </w:rPr>
        <w:t xml:space="preserve"> </w:t>
      </w:r>
    </w:p>
    <w:p w14:paraId="7ABBE7DC" w14:textId="47CC72BF" w:rsidR="00D44E6D" w:rsidRDefault="001A099A" w:rsidP="00D44E6D">
      <w:pPr>
        <w:ind w:left="720" w:hanging="720"/>
        <w:rPr>
          <w:rFonts w:cs="Times New Roman"/>
          <w:color w:val="000000" w:themeColor="text1"/>
          <w:szCs w:val="24"/>
        </w:rPr>
      </w:pPr>
      <w:r>
        <w:rPr>
          <w:rFonts w:cs="Times New Roman"/>
          <w:color w:val="000000" w:themeColor="text1"/>
          <w:szCs w:val="24"/>
        </w:rPr>
        <w:t xml:space="preserve">Conley, D. T. (2012). </w:t>
      </w:r>
      <w:r w:rsidRPr="003577E1">
        <w:rPr>
          <w:rFonts w:cs="Times New Roman"/>
          <w:i/>
          <w:iCs/>
          <w:color w:val="000000" w:themeColor="text1"/>
          <w:szCs w:val="24"/>
        </w:rPr>
        <w:t>A complete definition of college and career readiness.</w:t>
      </w:r>
      <w:r w:rsidRPr="003577E1">
        <w:rPr>
          <w:rFonts w:cs="Times New Roman"/>
          <w:color w:val="000000" w:themeColor="text1"/>
          <w:szCs w:val="24"/>
        </w:rPr>
        <w:t xml:space="preserve"> Educational Policy Improvement Center. </w:t>
      </w:r>
      <w:hyperlink r:id="rId36" w:history="1">
        <w:r w:rsidRPr="007169ED">
          <w:rPr>
            <w:rStyle w:val="Hyperlink"/>
            <w:rFonts w:cs="Times New Roman"/>
            <w:szCs w:val="24"/>
          </w:rPr>
          <w:t>https://files.eric.ed.gov/fulltext/ED537876.pdf</w:t>
        </w:r>
      </w:hyperlink>
      <w:r>
        <w:rPr>
          <w:rFonts w:cs="Times New Roman"/>
          <w:color w:val="000000" w:themeColor="text1"/>
          <w:szCs w:val="24"/>
        </w:rPr>
        <w:t xml:space="preserve"> </w:t>
      </w:r>
    </w:p>
    <w:p w14:paraId="0BA83764" w14:textId="50CEF9FE" w:rsidR="00A3756F" w:rsidRDefault="00A3756F" w:rsidP="00224816">
      <w:pPr>
        <w:ind w:left="720" w:hanging="720"/>
        <w:rPr>
          <w:rFonts w:cs="Times New Roman"/>
          <w:color w:val="000000" w:themeColor="text1"/>
          <w:szCs w:val="24"/>
        </w:rPr>
      </w:pPr>
      <w:r>
        <w:rPr>
          <w:rFonts w:cs="Times New Roman"/>
          <w:color w:val="000000" w:themeColor="text1"/>
          <w:szCs w:val="24"/>
        </w:rPr>
        <w:t xml:space="preserve">Cram, B., &amp; </w:t>
      </w:r>
      <w:r w:rsidRPr="00CD5E83">
        <w:rPr>
          <w:rFonts w:cs="Times New Roman"/>
          <w:color w:val="000000" w:themeColor="text1"/>
          <w:spacing w:val="3"/>
          <w:szCs w:val="24"/>
        </w:rPr>
        <w:t>B</w:t>
      </w:r>
      <w:r w:rsidRPr="00CD5E83">
        <w:rPr>
          <w:szCs w:val="24"/>
          <w:shd w:val="clear" w:color="auto" w:fill="FFFFFF"/>
        </w:rPr>
        <w:t>é</w:t>
      </w:r>
      <w:r w:rsidRPr="00CD5E83">
        <w:rPr>
          <w:rFonts w:cs="Times New Roman"/>
          <w:color w:val="000000" w:themeColor="text1"/>
          <w:spacing w:val="3"/>
          <w:szCs w:val="24"/>
        </w:rPr>
        <w:t>jar,</w:t>
      </w:r>
      <w:r>
        <w:rPr>
          <w:rFonts w:cs="Times New Roman"/>
          <w:color w:val="000000" w:themeColor="text1"/>
          <w:spacing w:val="3"/>
          <w:szCs w:val="24"/>
        </w:rPr>
        <w:t xml:space="preserve"> E. (2019). Achieving college readiness through a dual enrollment course</w:t>
      </w:r>
      <w:r w:rsidR="00CD5E83">
        <w:rPr>
          <w:rFonts w:cs="Times New Roman"/>
          <w:color w:val="000000" w:themeColor="text1"/>
          <w:spacing w:val="3"/>
          <w:szCs w:val="24"/>
        </w:rPr>
        <w:t>: “Strategies for success”.</w:t>
      </w:r>
      <w:r>
        <w:rPr>
          <w:rFonts w:cs="Times New Roman"/>
          <w:color w:val="000000" w:themeColor="text1"/>
          <w:spacing w:val="3"/>
          <w:szCs w:val="24"/>
        </w:rPr>
        <w:t xml:space="preserve"> </w:t>
      </w:r>
      <w:r w:rsidRPr="00CD5E83">
        <w:rPr>
          <w:rFonts w:cs="Times New Roman"/>
          <w:i/>
          <w:iCs/>
          <w:color w:val="000000" w:themeColor="text1"/>
          <w:spacing w:val="3"/>
          <w:szCs w:val="24"/>
        </w:rPr>
        <w:t>Metropolitan Universities, 30</w:t>
      </w:r>
      <w:r>
        <w:rPr>
          <w:rFonts w:cs="Times New Roman"/>
          <w:color w:val="000000" w:themeColor="text1"/>
          <w:spacing w:val="3"/>
          <w:szCs w:val="24"/>
        </w:rPr>
        <w:t>(2), 78-83.</w:t>
      </w:r>
      <w:r w:rsidRPr="00A3756F">
        <w:t xml:space="preserve"> </w:t>
      </w:r>
      <w:hyperlink r:id="rId37" w:history="1">
        <w:r w:rsidR="00CD5E83" w:rsidRPr="004841C6">
          <w:rPr>
            <w:rStyle w:val="Hyperlink"/>
          </w:rPr>
          <w:t>https://files.eric.ed.gov/fulltext/EJ1219804.pdf</w:t>
        </w:r>
      </w:hyperlink>
      <w:r w:rsidR="00CD5E83">
        <w:t xml:space="preserve"> </w:t>
      </w:r>
    </w:p>
    <w:p w14:paraId="15398F82" w14:textId="58E60705" w:rsidR="00286F03" w:rsidRDefault="00286F03" w:rsidP="00224816">
      <w:pPr>
        <w:ind w:left="720" w:hanging="720"/>
        <w:rPr>
          <w:rFonts w:cs="Times New Roman"/>
          <w:color w:val="000000" w:themeColor="text1"/>
          <w:szCs w:val="24"/>
        </w:rPr>
      </w:pPr>
      <w:r>
        <w:rPr>
          <w:rFonts w:cs="Times New Roman"/>
          <w:color w:val="000000" w:themeColor="text1"/>
          <w:szCs w:val="24"/>
        </w:rPr>
        <w:t xml:space="preserve">Dannenberg, M., &amp; Hyslop A. (2019). </w:t>
      </w:r>
      <w:r w:rsidRPr="003577E1">
        <w:rPr>
          <w:rFonts w:cs="Times New Roman"/>
          <w:i/>
          <w:iCs/>
          <w:color w:val="000000" w:themeColor="text1"/>
          <w:szCs w:val="24"/>
        </w:rPr>
        <w:t>Building a fast track to college: An executive summary.</w:t>
      </w:r>
      <w:r>
        <w:rPr>
          <w:rFonts w:cs="Times New Roman"/>
          <w:color w:val="000000" w:themeColor="text1"/>
          <w:szCs w:val="24"/>
        </w:rPr>
        <w:t xml:space="preserve"> Education Reform Now. </w:t>
      </w:r>
      <w:hyperlink r:id="rId38" w:history="1">
        <w:r w:rsidRPr="000B5D56">
          <w:rPr>
            <w:rStyle w:val="Hyperlink"/>
            <w:rFonts w:cs="Times New Roman"/>
            <w:szCs w:val="24"/>
          </w:rPr>
          <w:t>https://edreformnow.org/wp-content/uploads/2019/02/ERN-AEE-Fast-Track-FINAL.pdf</w:t>
        </w:r>
      </w:hyperlink>
      <w:r>
        <w:rPr>
          <w:rFonts w:cs="Times New Roman"/>
          <w:color w:val="000000" w:themeColor="text1"/>
          <w:szCs w:val="24"/>
        </w:rPr>
        <w:t xml:space="preserve"> </w:t>
      </w:r>
    </w:p>
    <w:p w14:paraId="07AF1C9C" w14:textId="17B48463" w:rsidR="006442AE" w:rsidRDefault="00D07041" w:rsidP="00A866B8">
      <w:pPr>
        <w:ind w:left="720" w:hanging="720"/>
        <w:rPr>
          <w:rFonts w:cs="Times New Roman"/>
          <w:color w:val="000000" w:themeColor="text1"/>
          <w:szCs w:val="24"/>
        </w:rPr>
      </w:pPr>
      <w:r w:rsidRPr="000C10A8">
        <w:rPr>
          <w:rFonts w:cs="Times New Roman"/>
          <w:color w:val="000000" w:themeColor="text1"/>
          <w:szCs w:val="24"/>
        </w:rPr>
        <w:t>Dougherty, K. J.</w:t>
      </w:r>
      <w:r w:rsidR="0005215B" w:rsidRPr="000C10A8">
        <w:rPr>
          <w:rFonts w:cs="Times New Roman"/>
          <w:color w:val="000000" w:themeColor="text1"/>
          <w:szCs w:val="24"/>
        </w:rPr>
        <w:t>,</w:t>
      </w:r>
      <w:r w:rsidRPr="000C10A8">
        <w:rPr>
          <w:rFonts w:cs="Times New Roman"/>
          <w:color w:val="000000" w:themeColor="text1"/>
          <w:szCs w:val="24"/>
        </w:rPr>
        <w:t xml:space="preserve"> &amp; Reddy, V. (2011). </w:t>
      </w:r>
      <w:r w:rsidRPr="000C10A8">
        <w:rPr>
          <w:rFonts w:cs="Times New Roman"/>
          <w:i/>
          <w:iCs/>
          <w:color w:val="000000" w:themeColor="text1"/>
          <w:szCs w:val="24"/>
        </w:rPr>
        <w:t>The impacts of state performance funding systems on higher education institutions: Research literature review and policy recommendations.</w:t>
      </w:r>
      <w:r w:rsidRPr="000C10A8">
        <w:rPr>
          <w:rFonts w:cs="Times New Roman"/>
          <w:color w:val="000000" w:themeColor="text1"/>
          <w:szCs w:val="24"/>
        </w:rPr>
        <w:t xml:space="preserve"> </w:t>
      </w:r>
      <w:r w:rsidR="00E163C5" w:rsidRPr="000C10A8">
        <w:rPr>
          <w:rFonts w:cs="Times New Roman"/>
          <w:color w:val="000000" w:themeColor="text1"/>
          <w:szCs w:val="24"/>
        </w:rPr>
        <w:t xml:space="preserve">(CCRC Working Paper No. 37). </w:t>
      </w:r>
      <w:r w:rsidRPr="000C10A8">
        <w:rPr>
          <w:rFonts w:cs="Times New Roman"/>
          <w:color w:val="000000" w:themeColor="text1"/>
          <w:szCs w:val="24"/>
        </w:rPr>
        <w:t xml:space="preserve">Community College Research Center. </w:t>
      </w:r>
      <w:hyperlink r:id="rId39" w:history="1">
        <w:r w:rsidRPr="000C10A8">
          <w:rPr>
            <w:rStyle w:val="Hyperlink"/>
            <w:rFonts w:cs="Times New Roman"/>
            <w:szCs w:val="24"/>
          </w:rPr>
          <w:t>https://files.eric.ed.gov/fulltext/ED527751.pdf</w:t>
        </w:r>
      </w:hyperlink>
      <w:r>
        <w:rPr>
          <w:rFonts w:cs="Times New Roman"/>
          <w:color w:val="000000" w:themeColor="text1"/>
          <w:szCs w:val="24"/>
        </w:rPr>
        <w:t xml:space="preserve"> </w:t>
      </w:r>
    </w:p>
    <w:p w14:paraId="18737092" w14:textId="5A71972D" w:rsidR="00E93989" w:rsidRDefault="00A866B8" w:rsidP="00857077">
      <w:pPr>
        <w:ind w:left="720" w:hanging="720"/>
        <w:rPr>
          <w:rFonts w:cs="Times New Roman"/>
          <w:color w:val="000000" w:themeColor="text1"/>
          <w:szCs w:val="24"/>
        </w:rPr>
      </w:pPr>
      <w:r w:rsidRPr="00291504">
        <w:rPr>
          <w:rFonts w:cs="Times New Roman"/>
          <w:color w:val="000000" w:themeColor="text1"/>
          <w:szCs w:val="24"/>
        </w:rPr>
        <w:t>E</w:t>
      </w:r>
      <w:r w:rsidR="00246035">
        <w:rPr>
          <w:rFonts w:cs="Times New Roman"/>
          <w:color w:val="000000" w:themeColor="text1"/>
          <w:szCs w:val="24"/>
        </w:rPr>
        <w:t>d</w:t>
      </w:r>
      <w:r w:rsidRPr="00291504">
        <w:rPr>
          <w:rFonts w:cs="Times New Roman"/>
          <w:color w:val="000000" w:themeColor="text1"/>
          <w:szCs w:val="24"/>
        </w:rPr>
        <w:t>monds, G</w:t>
      </w:r>
      <w:r>
        <w:rPr>
          <w:rFonts w:cs="Times New Roman"/>
          <w:color w:val="000000" w:themeColor="text1"/>
          <w:szCs w:val="24"/>
        </w:rPr>
        <w:t>.</w:t>
      </w:r>
      <w:r w:rsidRPr="00291504">
        <w:rPr>
          <w:rFonts w:cs="Times New Roman"/>
          <w:color w:val="000000" w:themeColor="text1"/>
          <w:szCs w:val="24"/>
        </w:rPr>
        <w:t xml:space="preserve"> (2016). </w:t>
      </w:r>
      <w:r w:rsidR="008A3DCE">
        <w:rPr>
          <w:rFonts w:cs="Times New Roman"/>
          <w:iCs/>
          <w:color w:val="000000" w:themeColor="text1"/>
          <w:szCs w:val="24"/>
        </w:rPr>
        <w:t>Defining concurrent enrollment</w:t>
      </w:r>
      <w:r w:rsidRPr="008A3DCE">
        <w:rPr>
          <w:rFonts w:cs="Times New Roman"/>
          <w:iCs/>
          <w:color w:val="000000" w:themeColor="text1"/>
          <w:szCs w:val="24"/>
        </w:rPr>
        <w:t>.</w:t>
      </w:r>
      <w:r w:rsidRPr="00291504">
        <w:rPr>
          <w:rFonts w:cs="Times New Roman"/>
          <w:color w:val="000000" w:themeColor="text1"/>
          <w:szCs w:val="24"/>
        </w:rPr>
        <w:t xml:space="preserve"> </w:t>
      </w:r>
      <w:r w:rsidR="008A3DCE">
        <w:rPr>
          <w:rFonts w:cs="Times New Roman"/>
          <w:color w:val="000000" w:themeColor="text1"/>
          <w:szCs w:val="24"/>
        </w:rPr>
        <w:t xml:space="preserve">In </w:t>
      </w:r>
      <w:r w:rsidR="008A3DCE" w:rsidRPr="00291504">
        <w:rPr>
          <w:rFonts w:cs="Times New Roman"/>
          <w:color w:val="000000" w:themeColor="text1"/>
          <w:szCs w:val="24"/>
        </w:rPr>
        <w:t>E</w:t>
      </w:r>
      <w:r w:rsidR="008A3DCE">
        <w:rPr>
          <w:rFonts w:cs="Times New Roman"/>
          <w:color w:val="000000" w:themeColor="text1"/>
          <w:szCs w:val="24"/>
        </w:rPr>
        <w:t>d</w:t>
      </w:r>
      <w:r w:rsidR="008A3DCE" w:rsidRPr="00291504">
        <w:rPr>
          <w:rFonts w:cs="Times New Roman"/>
          <w:color w:val="000000" w:themeColor="text1"/>
          <w:szCs w:val="24"/>
        </w:rPr>
        <w:t>monds, G</w:t>
      </w:r>
      <w:r w:rsidR="008A3DCE">
        <w:rPr>
          <w:rFonts w:cs="Times New Roman"/>
          <w:color w:val="000000" w:themeColor="text1"/>
          <w:szCs w:val="24"/>
        </w:rPr>
        <w:t>.,</w:t>
      </w:r>
      <w:r w:rsidR="008A3DCE" w:rsidRPr="00291504">
        <w:rPr>
          <w:rFonts w:cs="Times New Roman"/>
          <w:color w:val="000000" w:themeColor="text1"/>
          <w:szCs w:val="24"/>
        </w:rPr>
        <w:t xml:space="preserve"> &amp; Squires, T. (2016). </w:t>
      </w:r>
      <w:r w:rsidR="008A3DCE" w:rsidRPr="00F529C9">
        <w:rPr>
          <w:rFonts w:cs="Times New Roman"/>
          <w:i/>
          <w:color w:val="000000" w:themeColor="text1"/>
          <w:szCs w:val="24"/>
        </w:rPr>
        <w:t>Bridging the high school-college gap: The role of concurrent enrollment programs.</w:t>
      </w:r>
      <w:r w:rsidR="008A3DCE" w:rsidRPr="00291504">
        <w:rPr>
          <w:rFonts w:cs="Times New Roman"/>
          <w:color w:val="000000" w:themeColor="text1"/>
          <w:szCs w:val="24"/>
        </w:rPr>
        <w:t xml:space="preserve"> </w:t>
      </w:r>
      <w:r w:rsidR="008A3DCE">
        <w:rPr>
          <w:rFonts w:cs="Times New Roman"/>
          <w:color w:val="000000" w:themeColor="text1"/>
          <w:szCs w:val="24"/>
        </w:rPr>
        <w:t xml:space="preserve">(pp. 11-14). </w:t>
      </w:r>
      <w:r w:rsidR="008A3DCE" w:rsidRPr="00291504">
        <w:rPr>
          <w:rFonts w:cs="Times New Roman"/>
          <w:color w:val="000000" w:themeColor="text1"/>
          <w:szCs w:val="24"/>
        </w:rPr>
        <w:t>Syracuse University Press.</w:t>
      </w:r>
    </w:p>
    <w:p w14:paraId="6CD69FAB" w14:textId="77777777" w:rsidR="00A10AD2" w:rsidRDefault="00A10AD2" w:rsidP="00286339">
      <w:pPr>
        <w:ind w:left="720" w:hanging="720"/>
        <w:rPr>
          <w:rFonts w:cs="Times New Roman"/>
          <w:color w:val="000000" w:themeColor="text1"/>
          <w:szCs w:val="24"/>
        </w:rPr>
      </w:pPr>
    </w:p>
    <w:p w14:paraId="3CE117A9" w14:textId="77777777" w:rsidR="00A10AD2" w:rsidRDefault="00A10AD2" w:rsidP="00286339">
      <w:pPr>
        <w:ind w:left="720" w:hanging="720"/>
        <w:rPr>
          <w:rFonts w:cs="Times New Roman"/>
          <w:color w:val="000000" w:themeColor="text1"/>
          <w:szCs w:val="24"/>
        </w:rPr>
      </w:pPr>
    </w:p>
    <w:p w14:paraId="456E6A57" w14:textId="00B86400" w:rsidR="00F906B7" w:rsidRDefault="00F906B7" w:rsidP="00286339">
      <w:pPr>
        <w:ind w:left="720" w:hanging="720"/>
        <w:rPr>
          <w:rFonts w:cs="Times New Roman"/>
          <w:color w:val="000000" w:themeColor="text1"/>
          <w:szCs w:val="24"/>
        </w:rPr>
      </w:pPr>
      <w:r>
        <w:rPr>
          <w:rFonts w:cs="Times New Roman"/>
          <w:color w:val="000000" w:themeColor="text1"/>
          <w:szCs w:val="24"/>
        </w:rPr>
        <w:lastRenderedPageBreak/>
        <w:t xml:space="preserve">Edmunds, J. A., Unlu, F., Glennie, E., Bernstein, L., Fesler, L., Furey, J., </w:t>
      </w:r>
      <w:r w:rsidR="007A30A0">
        <w:rPr>
          <w:rFonts w:cs="Times New Roman"/>
          <w:color w:val="000000" w:themeColor="text1"/>
          <w:szCs w:val="24"/>
        </w:rPr>
        <w:t xml:space="preserve">&amp; </w:t>
      </w:r>
      <w:r>
        <w:rPr>
          <w:rFonts w:cs="Times New Roman"/>
          <w:color w:val="000000" w:themeColor="text1"/>
          <w:szCs w:val="24"/>
        </w:rPr>
        <w:t xml:space="preserve">Arshavsky, N. (2017). Smoothing the transition to postsecondary education: The impact on the early college model. </w:t>
      </w:r>
      <w:r w:rsidRPr="00B15AB3">
        <w:rPr>
          <w:rFonts w:cs="Times New Roman"/>
          <w:i/>
          <w:iCs/>
          <w:color w:val="000000" w:themeColor="text1"/>
          <w:szCs w:val="24"/>
        </w:rPr>
        <w:t>Journal of Research on Educational Effectiveness, 10</w:t>
      </w:r>
      <w:r>
        <w:rPr>
          <w:rFonts w:cs="Times New Roman"/>
          <w:color w:val="000000" w:themeColor="text1"/>
          <w:szCs w:val="24"/>
        </w:rPr>
        <w:t xml:space="preserve">(2), 297-325. </w:t>
      </w:r>
      <w:hyperlink r:id="rId40" w:history="1">
        <w:r w:rsidR="00121510" w:rsidRPr="00AB051E">
          <w:rPr>
            <w:rStyle w:val="Hyperlink"/>
            <w:rFonts w:cs="Times New Roman"/>
            <w:szCs w:val="24"/>
          </w:rPr>
          <w:t>https://doi.org/10.1080/19345747.2016.1191574</w:t>
        </w:r>
      </w:hyperlink>
      <w:r w:rsidR="00121510">
        <w:rPr>
          <w:rStyle w:val="Hyperlink"/>
          <w:rFonts w:cs="Times New Roman"/>
          <w:szCs w:val="24"/>
        </w:rPr>
        <w:t xml:space="preserve"> </w:t>
      </w:r>
      <w:r>
        <w:rPr>
          <w:rFonts w:cs="Times New Roman"/>
          <w:color w:val="000000" w:themeColor="text1"/>
          <w:szCs w:val="24"/>
        </w:rPr>
        <w:t xml:space="preserve">   </w:t>
      </w:r>
    </w:p>
    <w:p w14:paraId="6FE4C8C9" w14:textId="247DC12F" w:rsidR="00C4310B" w:rsidRDefault="00D8124A" w:rsidP="004D4722">
      <w:pPr>
        <w:ind w:left="720" w:hanging="720"/>
        <w:rPr>
          <w:rFonts w:cs="Times New Roman"/>
          <w:color w:val="000000" w:themeColor="text1"/>
          <w:szCs w:val="24"/>
        </w:rPr>
      </w:pPr>
      <w:r>
        <w:rPr>
          <w:rFonts w:cs="Times New Roman"/>
          <w:color w:val="000000" w:themeColor="text1"/>
          <w:szCs w:val="24"/>
        </w:rPr>
        <w:t xml:space="preserve">Education Commission of the States (2022, June). </w:t>
      </w:r>
      <w:r w:rsidRPr="00E163C5">
        <w:rPr>
          <w:rFonts w:cs="Times New Roman"/>
          <w:i/>
          <w:iCs/>
          <w:color w:val="000000" w:themeColor="text1"/>
          <w:szCs w:val="24"/>
        </w:rPr>
        <w:t>50-State Comparison: Student Eligibility Requirements</w:t>
      </w:r>
      <w:r>
        <w:rPr>
          <w:rFonts w:cs="Times New Roman"/>
          <w:color w:val="000000" w:themeColor="text1"/>
          <w:szCs w:val="24"/>
        </w:rPr>
        <w:t xml:space="preserve">. </w:t>
      </w:r>
      <w:hyperlink r:id="rId41" w:history="1">
        <w:r w:rsidRPr="00EA6C26">
          <w:rPr>
            <w:rStyle w:val="Hyperlink"/>
            <w:rFonts w:cs="Times New Roman"/>
            <w:szCs w:val="24"/>
          </w:rPr>
          <w:t>https://reports.ecs.org/comparisons/dual-concurrent-enrollment-2022-eligibility</w:t>
        </w:r>
      </w:hyperlink>
      <w:r>
        <w:rPr>
          <w:rFonts w:cs="Times New Roman"/>
          <w:color w:val="000000" w:themeColor="text1"/>
          <w:szCs w:val="24"/>
        </w:rPr>
        <w:t xml:space="preserve"> </w:t>
      </w:r>
    </w:p>
    <w:p w14:paraId="0B09C3E5" w14:textId="0E911BD1" w:rsidR="00FB0613" w:rsidRDefault="00FB0613" w:rsidP="00286339">
      <w:pPr>
        <w:ind w:left="720" w:hanging="720"/>
        <w:rPr>
          <w:rFonts w:cs="Times New Roman"/>
          <w:color w:val="000000" w:themeColor="text1"/>
          <w:szCs w:val="24"/>
        </w:rPr>
      </w:pPr>
      <w:r>
        <w:rPr>
          <w:rFonts w:cs="Times New Roman"/>
          <w:color w:val="000000" w:themeColor="text1"/>
          <w:szCs w:val="24"/>
        </w:rPr>
        <w:t xml:space="preserve">Ellis, Z., Bond, E., &amp; Smith, E. (2025). </w:t>
      </w:r>
      <w:r w:rsidRPr="00EB02FD">
        <w:rPr>
          <w:rFonts w:cs="Times New Roman"/>
          <w:i/>
          <w:iCs/>
          <w:color w:val="000000" w:themeColor="text1"/>
          <w:szCs w:val="24"/>
        </w:rPr>
        <w:t xml:space="preserve">Not just financial aid: Enabling affordability guarantees through tuition policy. </w:t>
      </w:r>
      <w:r>
        <w:rPr>
          <w:rFonts w:cs="Times New Roman"/>
          <w:color w:val="000000" w:themeColor="text1"/>
          <w:szCs w:val="24"/>
        </w:rPr>
        <w:t xml:space="preserve">Education Council. </w:t>
      </w:r>
      <w:hyperlink r:id="rId42" w:history="1">
        <w:r w:rsidRPr="004841C6">
          <w:rPr>
            <w:rStyle w:val="Hyperlink"/>
            <w:rFonts w:cs="Times New Roman"/>
            <w:szCs w:val="24"/>
          </w:rPr>
          <w:t>https://www.nelsonmullins.com/storage/6m7RYWldxUX7tdPoHlGgzkawmHR62fFhL6C4QmGx.pdf</w:t>
        </w:r>
      </w:hyperlink>
      <w:r>
        <w:rPr>
          <w:rFonts w:cs="Times New Roman"/>
          <w:color w:val="000000" w:themeColor="text1"/>
          <w:szCs w:val="24"/>
        </w:rPr>
        <w:t xml:space="preserve"> </w:t>
      </w:r>
    </w:p>
    <w:p w14:paraId="327ED988" w14:textId="7AE90F03" w:rsidR="004C3954" w:rsidRDefault="006D0CAD" w:rsidP="00B117B2">
      <w:pPr>
        <w:ind w:left="720" w:hanging="720"/>
        <w:rPr>
          <w:rFonts w:cs="Times New Roman"/>
          <w:color w:val="000000" w:themeColor="text1"/>
          <w:szCs w:val="24"/>
        </w:rPr>
      </w:pPr>
      <w:r>
        <w:rPr>
          <w:rFonts w:cs="Times New Roman"/>
          <w:color w:val="000000" w:themeColor="text1"/>
          <w:szCs w:val="24"/>
        </w:rPr>
        <w:t xml:space="preserve">Fink, J. </w:t>
      </w:r>
      <w:r w:rsidR="00E458CA">
        <w:rPr>
          <w:rFonts w:cs="Times New Roman"/>
          <w:color w:val="000000" w:themeColor="text1"/>
          <w:szCs w:val="24"/>
        </w:rPr>
        <w:t>(</w:t>
      </w:r>
      <w:r>
        <w:rPr>
          <w:rFonts w:cs="Times New Roman"/>
          <w:color w:val="000000" w:themeColor="text1"/>
          <w:szCs w:val="24"/>
        </w:rPr>
        <w:t xml:space="preserve">2024, August 26). </w:t>
      </w:r>
      <w:r w:rsidRPr="00E458CA">
        <w:rPr>
          <w:rFonts w:cs="Times New Roman"/>
          <w:i/>
          <w:iCs/>
          <w:color w:val="000000" w:themeColor="text1"/>
          <w:szCs w:val="24"/>
        </w:rPr>
        <w:t>How many students are taking dual enrollment courses in high school? New national, state, and college-level data.</w:t>
      </w:r>
      <w:r>
        <w:rPr>
          <w:rFonts w:cs="Times New Roman"/>
          <w:color w:val="000000" w:themeColor="text1"/>
          <w:szCs w:val="24"/>
        </w:rPr>
        <w:t xml:space="preserve"> Community College Research Center.</w:t>
      </w:r>
      <w:r w:rsidR="00471B60">
        <w:rPr>
          <w:rFonts w:cs="Times New Roman"/>
          <w:color w:val="000000" w:themeColor="text1"/>
          <w:szCs w:val="24"/>
        </w:rPr>
        <w:t xml:space="preserve"> Retrieved September </w:t>
      </w:r>
      <w:r w:rsidR="00F91BA2">
        <w:rPr>
          <w:rFonts w:cs="Times New Roman"/>
          <w:color w:val="000000" w:themeColor="text1"/>
          <w:szCs w:val="24"/>
        </w:rPr>
        <w:t>5</w:t>
      </w:r>
      <w:r w:rsidR="00471B60">
        <w:rPr>
          <w:rFonts w:cs="Times New Roman"/>
          <w:color w:val="000000" w:themeColor="text1"/>
          <w:szCs w:val="24"/>
        </w:rPr>
        <w:t>, 2025, from,</w:t>
      </w:r>
      <w:r>
        <w:rPr>
          <w:rFonts w:cs="Times New Roman"/>
          <w:color w:val="000000" w:themeColor="text1"/>
          <w:szCs w:val="24"/>
        </w:rPr>
        <w:t xml:space="preserve"> </w:t>
      </w:r>
      <w:hyperlink r:id="rId43" w:history="1">
        <w:r w:rsidR="00E458CA" w:rsidRPr="001A5804">
          <w:rPr>
            <w:rStyle w:val="Hyperlink"/>
            <w:rFonts w:cs="Times New Roman"/>
            <w:szCs w:val="24"/>
          </w:rPr>
          <w:t>https://ccrc.tc.columbia.edu/easyblog/how-many-students-are-taking-dual-enrollment-courses-in-high-school-new-national-state-and-college-level-data.html</w:t>
        </w:r>
      </w:hyperlink>
      <w:r w:rsidR="00E458CA">
        <w:rPr>
          <w:rFonts w:cs="Times New Roman"/>
          <w:color w:val="000000" w:themeColor="text1"/>
          <w:szCs w:val="24"/>
        </w:rPr>
        <w:t xml:space="preserve"> </w:t>
      </w:r>
    </w:p>
    <w:p w14:paraId="4E42D81F" w14:textId="261592A3" w:rsidR="008D146F" w:rsidRDefault="008D146F" w:rsidP="004C3954">
      <w:pPr>
        <w:ind w:left="720" w:hanging="720"/>
        <w:rPr>
          <w:rFonts w:cs="Times New Roman"/>
          <w:color w:val="000000" w:themeColor="text1"/>
          <w:szCs w:val="24"/>
        </w:rPr>
      </w:pPr>
      <w:r>
        <w:rPr>
          <w:rFonts w:cs="Times New Roman"/>
          <w:color w:val="000000" w:themeColor="text1"/>
          <w:szCs w:val="24"/>
        </w:rPr>
        <w:t xml:space="preserve">Fink, J. (2025, September 30). </w:t>
      </w:r>
      <w:r w:rsidRPr="008D146F">
        <w:rPr>
          <w:rFonts w:cs="Times New Roman"/>
          <w:i/>
          <w:iCs/>
          <w:color w:val="000000" w:themeColor="text1"/>
          <w:szCs w:val="24"/>
        </w:rPr>
        <w:t>High school dual enrollment grows to 2.8 million.</w:t>
      </w:r>
      <w:r>
        <w:rPr>
          <w:rFonts w:cs="Times New Roman"/>
          <w:color w:val="000000" w:themeColor="text1"/>
          <w:szCs w:val="24"/>
        </w:rPr>
        <w:t xml:space="preserve"> Community College Research Center. Retrieved December 19, 2025, from, </w:t>
      </w:r>
      <w:hyperlink r:id="rId44" w:history="1">
        <w:r w:rsidRPr="0025400E">
          <w:rPr>
            <w:rStyle w:val="Hyperlink"/>
            <w:rFonts w:cs="Times New Roman"/>
            <w:szCs w:val="24"/>
          </w:rPr>
          <w:t>https://ccrc.tc.columbia.edu/easyblog/high-school-dual-enrollment-grows.html</w:t>
        </w:r>
      </w:hyperlink>
      <w:r>
        <w:rPr>
          <w:rFonts w:cs="Times New Roman"/>
          <w:color w:val="000000" w:themeColor="text1"/>
          <w:szCs w:val="24"/>
        </w:rPr>
        <w:t xml:space="preserve"> </w:t>
      </w:r>
    </w:p>
    <w:p w14:paraId="61741925" w14:textId="36A40AE6" w:rsidR="00B117B2" w:rsidRDefault="00B117B2" w:rsidP="004C3954">
      <w:pPr>
        <w:ind w:left="720" w:hanging="720"/>
        <w:rPr>
          <w:rFonts w:cs="Times New Roman"/>
          <w:color w:val="000000" w:themeColor="text1"/>
          <w:szCs w:val="24"/>
        </w:rPr>
      </w:pPr>
      <w:r>
        <w:rPr>
          <w:rFonts w:cs="Times New Roman"/>
          <w:color w:val="000000" w:themeColor="text1"/>
          <w:szCs w:val="24"/>
        </w:rPr>
        <w:t xml:space="preserve">Fink, J., Griffin, S., </w:t>
      </w:r>
      <w:r w:rsidR="00B06939">
        <w:rPr>
          <w:rFonts w:cs="Times New Roman"/>
          <w:color w:val="000000" w:themeColor="text1"/>
          <w:szCs w:val="24"/>
        </w:rPr>
        <w:t xml:space="preserve">&amp; </w:t>
      </w:r>
      <w:r>
        <w:rPr>
          <w:rFonts w:cs="Times New Roman"/>
          <w:color w:val="000000" w:themeColor="text1"/>
          <w:szCs w:val="24"/>
        </w:rPr>
        <w:t xml:space="preserve">Fay, M. P. (2022, August 30). </w:t>
      </w:r>
      <w:r w:rsidRPr="00D31FF4">
        <w:rPr>
          <w:rFonts w:cs="Times New Roman"/>
          <w:i/>
          <w:iCs/>
          <w:color w:val="000000" w:themeColor="text1"/>
          <w:szCs w:val="24"/>
        </w:rPr>
        <w:t>An opportunity to expand college access? Rethinking dual enrollment eligibility policies post-pandemic.</w:t>
      </w:r>
      <w:r>
        <w:rPr>
          <w:rFonts w:cs="Times New Roman"/>
          <w:color w:val="000000" w:themeColor="text1"/>
          <w:szCs w:val="24"/>
        </w:rPr>
        <w:t xml:space="preserve"> Community College Research Center. </w:t>
      </w:r>
      <w:hyperlink r:id="rId45" w:history="1">
        <w:r w:rsidRPr="00EA6C26">
          <w:rPr>
            <w:rStyle w:val="Hyperlink"/>
            <w:rFonts w:cs="Times New Roman"/>
            <w:szCs w:val="24"/>
          </w:rPr>
          <w:t>https://ccrc.tc.columbia.edu/easyblog/rethinking-dual-enrollment-eligibility-policies-post-pandemic.html</w:t>
        </w:r>
      </w:hyperlink>
      <w:r>
        <w:rPr>
          <w:rFonts w:cs="Times New Roman"/>
          <w:color w:val="000000" w:themeColor="text1"/>
          <w:szCs w:val="24"/>
        </w:rPr>
        <w:t xml:space="preserve"> </w:t>
      </w:r>
    </w:p>
    <w:p w14:paraId="1302480F" w14:textId="579A9C89" w:rsidR="009B6D0A" w:rsidRDefault="007743D5" w:rsidP="004C3954">
      <w:pPr>
        <w:ind w:left="720" w:hanging="720"/>
        <w:rPr>
          <w:rFonts w:cs="Times New Roman"/>
          <w:color w:val="000000" w:themeColor="text1"/>
          <w:szCs w:val="24"/>
        </w:rPr>
      </w:pPr>
      <w:r>
        <w:rPr>
          <w:rFonts w:cs="Times New Roman"/>
          <w:color w:val="000000" w:themeColor="text1"/>
          <w:szCs w:val="24"/>
        </w:rPr>
        <w:lastRenderedPageBreak/>
        <w:t xml:space="preserve">Fink, J., Jenkins, D., &amp; Yanagiura, T. (2017). </w:t>
      </w:r>
      <w:r w:rsidRPr="00B94707">
        <w:rPr>
          <w:rFonts w:cs="Times New Roman"/>
          <w:i/>
          <w:iCs/>
          <w:color w:val="000000" w:themeColor="text1"/>
          <w:szCs w:val="24"/>
        </w:rPr>
        <w:t>What happens to students who take community college “dual enrollment” courses in high school?</w:t>
      </w:r>
      <w:r>
        <w:rPr>
          <w:rFonts w:cs="Times New Roman"/>
          <w:color w:val="000000" w:themeColor="text1"/>
          <w:szCs w:val="24"/>
        </w:rPr>
        <w:t xml:space="preserve"> Community College Research Center. </w:t>
      </w:r>
      <w:hyperlink r:id="rId46" w:history="1">
        <w:r w:rsidR="00776B06" w:rsidRPr="004841C6">
          <w:rPr>
            <w:rStyle w:val="Hyperlink"/>
          </w:rPr>
          <w:t>https://ccrc.tc.columbia.edu/wp-content/uploads/2017/09/what-happens-community-college-dual-enrollment-students.pdf</w:t>
        </w:r>
      </w:hyperlink>
      <w:r w:rsidR="00776B06">
        <w:t xml:space="preserve"> </w:t>
      </w:r>
    </w:p>
    <w:p w14:paraId="7A298073" w14:textId="4119BA06" w:rsidR="008C2BC0" w:rsidRDefault="008C2BC0" w:rsidP="00B34C57">
      <w:pPr>
        <w:ind w:left="720" w:hanging="720"/>
        <w:rPr>
          <w:rFonts w:cs="Times New Roman"/>
          <w:color w:val="000000" w:themeColor="text1"/>
          <w:szCs w:val="24"/>
        </w:rPr>
      </w:pPr>
      <w:r>
        <w:rPr>
          <w:rFonts w:cs="Times New Roman"/>
          <w:color w:val="000000" w:themeColor="text1"/>
          <w:szCs w:val="24"/>
        </w:rPr>
        <w:t>Fink, J.</w:t>
      </w:r>
      <w:r w:rsidR="008579CB">
        <w:rPr>
          <w:rFonts w:cs="Times New Roman"/>
          <w:color w:val="000000" w:themeColor="text1"/>
          <w:szCs w:val="24"/>
        </w:rPr>
        <w:t>,</w:t>
      </w:r>
      <w:r>
        <w:rPr>
          <w:rFonts w:cs="Times New Roman"/>
          <w:color w:val="000000" w:themeColor="text1"/>
          <w:szCs w:val="24"/>
        </w:rPr>
        <w:t xml:space="preserve"> &amp; Jenkins, D. (2023). </w:t>
      </w:r>
      <w:r w:rsidRPr="00A00B05">
        <w:rPr>
          <w:rFonts w:cs="Times New Roman"/>
          <w:i/>
          <w:iCs/>
          <w:color w:val="000000" w:themeColor="text1"/>
          <w:szCs w:val="24"/>
        </w:rPr>
        <w:t>Rethinking dual enrollment as an equitable on-ramp to a career-path college degree program after high school.</w:t>
      </w:r>
      <w:r>
        <w:rPr>
          <w:rFonts w:cs="Times New Roman"/>
          <w:color w:val="000000" w:themeColor="text1"/>
          <w:szCs w:val="24"/>
        </w:rPr>
        <w:t xml:space="preserve"> Community College Research Center</w:t>
      </w:r>
      <w:r w:rsidRPr="008C2BC0">
        <w:rPr>
          <w:rFonts w:cs="Times New Roman"/>
          <w:color w:val="000000" w:themeColor="text1"/>
          <w:szCs w:val="24"/>
        </w:rPr>
        <w:t xml:space="preserve">.  </w:t>
      </w:r>
      <w:hyperlink r:id="rId47" w:history="1">
        <w:r w:rsidRPr="008C2BC0">
          <w:rPr>
            <w:rStyle w:val="Hyperlink"/>
            <w:rFonts w:cs="Times New Roman"/>
            <w:szCs w:val="24"/>
          </w:rPr>
          <w:t>https://ccrc.tc.columbia.edu/wp-content/uploads/2023/10/revamping-dual-enrollment-equitable-college-degree-paths_1-1.pdf</w:t>
        </w:r>
      </w:hyperlink>
    </w:p>
    <w:p w14:paraId="50898AFE" w14:textId="0E3ABAAF" w:rsidR="00D44E6D" w:rsidRDefault="00D44E6D" w:rsidP="00B34C57">
      <w:pPr>
        <w:ind w:left="720" w:hanging="720"/>
        <w:rPr>
          <w:rFonts w:cs="Times New Roman"/>
          <w:color w:val="000000" w:themeColor="text1"/>
          <w:szCs w:val="24"/>
        </w:rPr>
      </w:pPr>
      <w:r>
        <w:rPr>
          <w:rFonts w:cs="Times New Roman"/>
          <w:color w:val="000000" w:themeColor="text1"/>
          <w:szCs w:val="24"/>
        </w:rPr>
        <w:t>Fletcher, C., Cornett, A., Plumb, M. H., &amp; Ashton, B. (202</w:t>
      </w:r>
      <w:r w:rsidR="003C6B54">
        <w:rPr>
          <w:rFonts w:cs="Times New Roman"/>
          <w:color w:val="000000" w:themeColor="text1"/>
          <w:szCs w:val="24"/>
        </w:rPr>
        <w:t>5</w:t>
      </w:r>
      <w:r>
        <w:rPr>
          <w:rFonts w:cs="Times New Roman"/>
          <w:color w:val="000000" w:themeColor="text1"/>
          <w:szCs w:val="24"/>
        </w:rPr>
        <w:t xml:space="preserve">). </w:t>
      </w:r>
      <w:r w:rsidRPr="00FB0613">
        <w:rPr>
          <w:rFonts w:cs="Times New Roman"/>
          <w:i/>
          <w:iCs/>
          <w:color w:val="000000" w:themeColor="text1"/>
          <w:szCs w:val="24"/>
        </w:rPr>
        <w:t xml:space="preserve">Student </w:t>
      </w:r>
      <w:r w:rsidR="00FB0613" w:rsidRPr="00FB0613">
        <w:rPr>
          <w:rFonts w:cs="Times New Roman"/>
          <w:i/>
          <w:iCs/>
          <w:color w:val="000000" w:themeColor="text1"/>
          <w:szCs w:val="24"/>
        </w:rPr>
        <w:t>f</w:t>
      </w:r>
      <w:r w:rsidRPr="00FB0613">
        <w:rPr>
          <w:rFonts w:cs="Times New Roman"/>
          <w:i/>
          <w:iCs/>
          <w:color w:val="000000" w:themeColor="text1"/>
          <w:szCs w:val="24"/>
        </w:rPr>
        <w:t xml:space="preserve">inancial </w:t>
      </w:r>
      <w:r w:rsidR="00FB0613" w:rsidRPr="00FB0613">
        <w:rPr>
          <w:rFonts w:cs="Times New Roman"/>
          <w:i/>
          <w:iCs/>
          <w:color w:val="000000" w:themeColor="text1"/>
          <w:szCs w:val="24"/>
        </w:rPr>
        <w:t>w</w:t>
      </w:r>
      <w:r w:rsidRPr="00FB0613">
        <w:rPr>
          <w:rFonts w:cs="Times New Roman"/>
          <w:i/>
          <w:iCs/>
          <w:color w:val="000000" w:themeColor="text1"/>
          <w:szCs w:val="24"/>
        </w:rPr>
        <w:t xml:space="preserve">ellness </w:t>
      </w:r>
      <w:r w:rsidR="00FB0613" w:rsidRPr="00FB0613">
        <w:rPr>
          <w:rFonts w:cs="Times New Roman"/>
          <w:i/>
          <w:iCs/>
          <w:color w:val="000000" w:themeColor="text1"/>
          <w:szCs w:val="24"/>
        </w:rPr>
        <w:t>s</w:t>
      </w:r>
      <w:r w:rsidRPr="00FB0613">
        <w:rPr>
          <w:rFonts w:cs="Times New Roman"/>
          <w:i/>
          <w:iCs/>
          <w:color w:val="000000" w:themeColor="text1"/>
          <w:szCs w:val="24"/>
        </w:rPr>
        <w:t xml:space="preserve">urvey: Fall 2024 </w:t>
      </w:r>
      <w:r w:rsidR="00FB0613" w:rsidRPr="00FB0613">
        <w:rPr>
          <w:rFonts w:cs="Times New Roman"/>
          <w:i/>
          <w:iCs/>
          <w:color w:val="000000" w:themeColor="text1"/>
          <w:szCs w:val="24"/>
        </w:rPr>
        <w:t>r</w:t>
      </w:r>
      <w:r w:rsidRPr="00FB0613">
        <w:rPr>
          <w:rFonts w:cs="Times New Roman"/>
          <w:i/>
          <w:iCs/>
          <w:color w:val="000000" w:themeColor="text1"/>
          <w:szCs w:val="24"/>
        </w:rPr>
        <w:t>esults.</w:t>
      </w:r>
      <w:r>
        <w:rPr>
          <w:rFonts w:cs="Times New Roman"/>
          <w:color w:val="000000" w:themeColor="text1"/>
          <w:szCs w:val="24"/>
        </w:rPr>
        <w:t xml:space="preserve"> Trellis Strategies. </w:t>
      </w:r>
      <w:hyperlink r:id="rId48" w:history="1">
        <w:r w:rsidRPr="004841C6">
          <w:rPr>
            <w:rStyle w:val="Hyperlink"/>
            <w:rFonts w:cs="Times New Roman"/>
            <w:szCs w:val="24"/>
          </w:rPr>
          <w:t>https://www.trellisstrategies.org/wp-content/uploads/2025/04/SFWS-Aggregate-Report_FALL-2024_FINAL.pdf</w:t>
        </w:r>
      </w:hyperlink>
      <w:r>
        <w:rPr>
          <w:rFonts w:cs="Times New Roman"/>
          <w:color w:val="000000" w:themeColor="text1"/>
          <w:szCs w:val="24"/>
        </w:rPr>
        <w:t xml:space="preserve"> </w:t>
      </w:r>
    </w:p>
    <w:p w14:paraId="7113A1AF" w14:textId="0FB5E7C8" w:rsidR="00C23409" w:rsidRDefault="00C23409" w:rsidP="00B34C57">
      <w:pPr>
        <w:ind w:left="720" w:hanging="720"/>
        <w:rPr>
          <w:rFonts w:cs="Times New Roman"/>
          <w:color w:val="000000" w:themeColor="text1"/>
          <w:szCs w:val="24"/>
        </w:rPr>
      </w:pPr>
      <w:r>
        <w:rPr>
          <w:rFonts w:cs="Times New Roman"/>
          <w:color w:val="000000" w:themeColor="text1"/>
          <w:szCs w:val="24"/>
        </w:rPr>
        <w:t xml:space="preserve">Florida Department of Education. (n.d.). </w:t>
      </w:r>
      <w:r w:rsidRPr="003C6B54">
        <w:rPr>
          <w:rFonts w:cs="Times New Roman"/>
          <w:i/>
          <w:iCs/>
          <w:color w:val="000000" w:themeColor="text1"/>
          <w:szCs w:val="24"/>
        </w:rPr>
        <w:t>Dual Enrollment Frequently Asked Questions.</w:t>
      </w:r>
      <w:r>
        <w:rPr>
          <w:rFonts w:cs="Times New Roman"/>
          <w:color w:val="000000" w:themeColor="text1"/>
          <w:szCs w:val="24"/>
        </w:rPr>
        <w:t xml:space="preserve"> </w:t>
      </w:r>
      <w:hyperlink r:id="rId49" w:history="1">
        <w:r w:rsidRPr="00577E79">
          <w:rPr>
            <w:rStyle w:val="Hyperlink"/>
            <w:rFonts w:cs="Times New Roman"/>
            <w:szCs w:val="24"/>
          </w:rPr>
          <w:t>https://www.fldoe.org/core/fileparse.php/5421/urlt/dualenrollmentfaq.pdf</w:t>
        </w:r>
      </w:hyperlink>
      <w:r>
        <w:rPr>
          <w:rFonts w:cs="Times New Roman"/>
          <w:color w:val="000000" w:themeColor="text1"/>
          <w:szCs w:val="24"/>
        </w:rPr>
        <w:t xml:space="preserve"> </w:t>
      </w:r>
    </w:p>
    <w:p w14:paraId="34E90987" w14:textId="0A97EE4A" w:rsidR="007F375F" w:rsidRDefault="007F375F" w:rsidP="00B34C57">
      <w:pPr>
        <w:ind w:left="720" w:hanging="720"/>
        <w:rPr>
          <w:rFonts w:cs="Times New Roman"/>
          <w:color w:val="000000" w:themeColor="text1"/>
          <w:szCs w:val="24"/>
        </w:rPr>
      </w:pPr>
      <w:r>
        <w:rPr>
          <w:rFonts w:cs="Times New Roman"/>
          <w:color w:val="000000" w:themeColor="text1"/>
          <w:szCs w:val="24"/>
        </w:rPr>
        <w:t xml:space="preserve">Gallardo, C. A. (2025). College preparation of U.S. high school students, the dual enrollment/early college program model, and impact on educational administration and stakeholders. </w:t>
      </w:r>
      <w:r w:rsidRPr="007F375F">
        <w:rPr>
          <w:rFonts w:cs="Times New Roman"/>
          <w:i/>
          <w:iCs/>
          <w:color w:val="000000" w:themeColor="text1"/>
          <w:szCs w:val="24"/>
        </w:rPr>
        <w:t>Journal of School Leadership, 35</w:t>
      </w:r>
      <w:r>
        <w:rPr>
          <w:rFonts w:cs="Times New Roman"/>
          <w:color w:val="000000" w:themeColor="text1"/>
          <w:szCs w:val="24"/>
        </w:rPr>
        <w:t xml:space="preserve">(1), 5-22. </w:t>
      </w:r>
      <w:hyperlink r:id="rId50" w:history="1">
        <w:r w:rsidRPr="004841C6">
          <w:rPr>
            <w:rStyle w:val="Hyperlink"/>
            <w:rFonts w:cs="Times New Roman"/>
            <w:szCs w:val="24"/>
          </w:rPr>
          <w:t>https://journals.sagepub.com/doi/epdf/10.1177/10526846241292631</w:t>
        </w:r>
      </w:hyperlink>
      <w:r>
        <w:rPr>
          <w:rFonts w:cs="Times New Roman"/>
          <w:color w:val="000000" w:themeColor="text1"/>
          <w:szCs w:val="24"/>
        </w:rPr>
        <w:t xml:space="preserve"> </w:t>
      </w:r>
    </w:p>
    <w:p w14:paraId="1F98665D" w14:textId="3F1F756F" w:rsidR="00043102" w:rsidRDefault="00043102" w:rsidP="00B34C57">
      <w:pPr>
        <w:ind w:left="720" w:hanging="720"/>
        <w:rPr>
          <w:rFonts w:cs="Times New Roman"/>
          <w:color w:val="000000" w:themeColor="text1"/>
          <w:szCs w:val="24"/>
        </w:rPr>
      </w:pPr>
      <w:r>
        <w:rPr>
          <w:rFonts w:cs="Times New Roman"/>
          <w:color w:val="000000" w:themeColor="text1"/>
          <w:szCs w:val="24"/>
        </w:rPr>
        <w:t xml:space="preserve">Ganga, E. (2024). </w:t>
      </w:r>
      <w:r w:rsidRPr="003C6B54">
        <w:rPr>
          <w:rFonts w:cs="Times New Roman"/>
          <w:i/>
          <w:iCs/>
          <w:color w:val="000000" w:themeColor="text1"/>
          <w:szCs w:val="24"/>
        </w:rPr>
        <w:t xml:space="preserve">Dual enrollment boosts college success but gaps remain: </w:t>
      </w:r>
      <w:proofErr w:type="gramStart"/>
      <w:r w:rsidRPr="003C6B54">
        <w:rPr>
          <w:rFonts w:cs="Times New Roman"/>
          <w:i/>
          <w:iCs/>
          <w:color w:val="000000" w:themeColor="text1"/>
          <w:szCs w:val="24"/>
        </w:rPr>
        <w:t>New</w:t>
      </w:r>
      <w:proofErr w:type="gramEnd"/>
      <w:r w:rsidRPr="003C6B54">
        <w:rPr>
          <w:rFonts w:cs="Times New Roman"/>
          <w:i/>
          <w:iCs/>
          <w:color w:val="000000" w:themeColor="text1"/>
          <w:szCs w:val="24"/>
        </w:rPr>
        <w:t xml:space="preserve"> report includes first national and state-by-state breakdowns of dual enrollment students’ access and success. </w:t>
      </w:r>
      <w:r w:rsidRPr="003C6B54">
        <w:rPr>
          <w:rFonts w:cs="Times New Roman"/>
          <w:color w:val="000000" w:themeColor="text1"/>
          <w:szCs w:val="24"/>
        </w:rPr>
        <w:t>Community College Research Center.</w:t>
      </w:r>
      <w:r>
        <w:rPr>
          <w:rFonts w:cs="Times New Roman"/>
          <w:color w:val="000000" w:themeColor="text1"/>
          <w:szCs w:val="24"/>
        </w:rPr>
        <w:t xml:space="preserve"> </w:t>
      </w:r>
      <w:hyperlink r:id="rId51" w:history="1">
        <w:r w:rsidRPr="00551254">
          <w:rPr>
            <w:rStyle w:val="Hyperlink"/>
            <w:rFonts w:cs="Times New Roman"/>
            <w:szCs w:val="24"/>
          </w:rPr>
          <w:t>https://ccrc.tc.columbia.edu/wp-content/uploads/2024/10/dual-enrollment-boosts-college-sucess-gaps-remain.docx.pdf</w:t>
        </w:r>
      </w:hyperlink>
      <w:r>
        <w:rPr>
          <w:rFonts w:cs="Times New Roman"/>
          <w:color w:val="000000" w:themeColor="text1"/>
          <w:szCs w:val="24"/>
        </w:rPr>
        <w:t xml:space="preserve">  </w:t>
      </w:r>
    </w:p>
    <w:p w14:paraId="139D92BA" w14:textId="18FDDBC5" w:rsidR="004D4722" w:rsidRDefault="00266947" w:rsidP="00137A17">
      <w:pPr>
        <w:ind w:left="720" w:hanging="720"/>
        <w:rPr>
          <w:rFonts w:cs="Times New Roman"/>
          <w:color w:val="000000" w:themeColor="text1"/>
          <w:szCs w:val="24"/>
        </w:rPr>
      </w:pPr>
      <w:r>
        <w:rPr>
          <w:rFonts w:cs="Times New Roman"/>
          <w:color w:val="000000" w:themeColor="text1"/>
          <w:szCs w:val="24"/>
        </w:rPr>
        <w:lastRenderedPageBreak/>
        <w:t xml:space="preserve">Giani, M., Alexander, C., &amp; Reyes, P. (2014). Exploring variation in the impact of dual-credit coursework on postsecondary outcomes: A quasi-experimental analysis of Texas students. </w:t>
      </w:r>
      <w:r w:rsidRPr="00266947">
        <w:rPr>
          <w:rFonts w:cs="Times New Roman"/>
          <w:i/>
          <w:iCs/>
          <w:color w:val="000000" w:themeColor="text1"/>
          <w:szCs w:val="24"/>
        </w:rPr>
        <w:t>The High School Journal, 97</w:t>
      </w:r>
      <w:r>
        <w:rPr>
          <w:rFonts w:cs="Times New Roman"/>
          <w:color w:val="000000" w:themeColor="text1"/>
          <w:szCs w:val="24"/>
        </w:rPr>
        <w:t xml:space="preserve">(4), 200-218. </w:t>
      </w:r>
      <w:hyperlink r:id="rId52" w:history="1">
        <w:r w:rsidRPr="00410328">
          <w:rPr>
            <w:rStyle w:val="Hyperlink"/>
            <w:rFonts w:cs="Times New Roman"/>
            <w:szCs w:val="24"/>
          </w:rPr>
          <w:t>https://doi.org/10.1353/hsj.2014.0007</w:t>
        </w:r>
      </w:hyperlink>
      <w:r>
        <w:rPr>
          <w:rFonts w:cs="Times New Roman"/>
          <w:color w:val="000000" w:themeColor="text1"/>
          <w:szCs w:val="24"/>
        </w:rPr>
        <w:t xml:space="preserve"> </w:t>
      </w:r>
    </w:p>
    <w:p w14:paraId="2F58FF09" w14:textId="3F25438F" w:rsidR="00B34C57" w:rsidRDefault="005E0DBA" w:rsidP="00B34C57">
      <w:pPr>
        <w:ind w:left="720" w:hanging="720"/>
        <w:rPr>
          <w:rFonts w:cs="Times New Roman"/>
          <w:color w:val="000000" w:themeColor="text1"/>
          <w:szCs w:val="24"/>
        </w:rPr>
      </w:pPr>
      <w:r>
        <w:rPr>
          <w:rFonts w:cs="Times New Roman"/>
          <w:color w:val="000000" w:themeColor="text1"/>
          <w:szCs w:val="24"/>
        </w:rPr>
        <w:t xml:space="preserve">Gilbert, C., &amp; Heller, D. (2010). </w:t>
      </w:r>
      <w:r w:rsidRPr="00560C71">
        <w:rPr>
          <w:rFonts w:cs="Times New Roman"/>
          <w:i/>
          <w:iCs/>
          <w:color w:val="000000" w:themeColor="text1"/>
          <w:szCs w:val="24"/>
        </w:rPr>
        <w:t>The Truman Commission and its impact on federal higher education policy from 1947 to 2010.</w:t>
      </w:r>
      <w:r>
        <w:rPr>
          <w:rFonts w:cs="Times New Roman"/>
          <w:color w:val="000000" w:themeColor="text1"/>
          <w:szCs w:val="24"/>
        </w:rPr>
        <w:t xml:space="preserve"> Association </w:t>
      </w:r>
      <w:r w:rsidR="00560C71">
        <w:rPr>
          <w:rFonts w:cs="Times New Roman"/>
          <w:color w:val="000000" w:themeColor="text1"/>
          <w:szCs w:val="24"/>
        </w:rPr>
        <w:t>f</w:t>
      </w:r>
      <w:r>
        <w:rPr>
          <w:rFonts w:cs="Times New Roman"/>
          <w:color w:val="000000" w:themeColor="text1"/>
          <w:szCs w:val="24"/>
        </w:rPr>
        <w:t xml:space="preserve">or the </w:t>
      </w:r>
      <w:r w:rsidR="00560C71">
        <w:rPr>
          <w:rFonts w:cs="Times New Roman"/>
          <w:color w:val="000000" w:themeColor="text1"/>
          <w:szCs w:val="24"/>
        </w:rPr>
        <w:t>S</w:t>
      </w:r>
      <w:r>
        <w:rPr>
          <w:rFonts w:cs="Times New Roman"/>
          <w:color w:val="000000" w:themeColor="text1"/>
          <w:szCs w:val="24"/>
        </w:rPr>
        <w:t xml:space="preserve">tudy of </w:t>
      </w:r>
      <w:r w:rsidR="00560C71">
        <w:rPr>
          <w:rFonts w:cs="Times New Roman"/>
          <w:color w:val="000000" w:themeColor="text1"/>
          <w:szCs w:val="24"/>
        </w:rPr>
        <w:t>H</w:t>
      </w:r>
      <w:r>
        <w:rPr>
          <w:rFonts w:cs="Times New Roman"/>
          <w:color w:val="000000" w:themeColor="text1"/>
          <w:szCs w:val="24"/>
        </w:rPr>
        <w:t xml:space="preserve">igher </w:t>
      </w:r>
      <w:r w:rsidR="00560C71">
        <w:rPr>
          <w:rFonts w:cs="Times New Roman"/>
          <w:color w:val="000000" w:themeColor="text1"/>
          <w:szCs w:val="24"/>
        </w:rPr>
        <w:t>E</w:t>
      </w:r>
      <w:r>
        <w:rPr>
          <w:rFonts w:cs="Times New Roman"/>
          <w:color w:val="000000" w:themeColor="text1"/>
          <w:szCs w:val="24"/>
        </w:rPr>
        <w:t xml:space="preserve">ducation annual </w:t>
      </w:r>
      <w:r w:rsidR="00560C71">
        <w:rPr>
          <w:rFonts w:cs="Times New Roman"/>
          <w:color w:val="000000" w:themeColor="text1"/>
          <w:szCs w:val="24"/>
        </w:rPr>
        <w:t>Conference</w:t>
      </w:r>
      <w:r>
        <w:rPr>
          <w:rFonts w:cs="Times New Roman"/>
          <w:color w:val="000000" w:themeColor="text1"/>
          <w:szCs w:val="24"/>
        </w:rPr>
        <w:t xml:space="preserve">. </w:t>
      </w:r>
      <w:hyperlink r:id="rId53" w:history="1">
        <w:r w:rsidR="00B34C57" w:rsidRPr="00DA73CD">
          <w:rPr>
            <w:rStyle w:val="Hyperlink"/>
            <w:rFonts w:cs="Times New Roman"/>
            <w:szCs w:val="24"/>
          </w:rPr>
          <w:t>https://edwp.educ.msu.edu/te/wp-content/uploads/sites/3/2012/03/ASHE_2010_Gilbert_Heller.pdf</w:t>
        </w:r>
      </w:hyperlink>
    </w:p>
    <w:p w14:paraId="5B0DD6C6" w14:textId="77777777" w:rsidR="00B64F35" w:rsidRDefault="00A866B8" w:rsidP="00A866B8">
      <w:pPr>
        <w:rPr>
          <w:rFonts w:cs="Times New Roman"/>
          <w:color w:val="000000" w:themeColor="text1"/>
          <w:szCs w:val="24"/>
        </w:rPr>
      </w:pPr>
      <w:r w:rsidRPr="00291504">
        <w:rPr>
          <w:rFonts w:cs="Times New Roman"/>
          <w:color w:val="000000" w:themeColor="text1"/>
          <w:szCs w:val="24"/>
        </w:rPr>
        <w:t>Grubb, J., Scott, P., &amp; Good, D. (2017). The answer is yes</w:t>
      </w:r>
      <w:r w:rsidR="00EE0F66">
        <w:rPr>
          <w:rFonts w:cs="Times New Roman"/>
          <w:color w:val="000000" w:themeColor="text1"/>
          <w:szCs w:val="24"/>
        </w:rPr>
        <w:t xml:space="preserve">: Dual enrollment benefits students at </w:t>
      </w:r>
    </w:p>
    <w:p w14:paraId="40FAE4F1" w14:textId="7D063AED" w:rsidR="00A866B8" w:rsidRPr="00291504" w:rsidRDefault="00EE0F66" w:rsidP="0065141C">
      <w:pPr>
        <w:ind w:left="720"/>
        <w:rPr>
          <w:rFonts w:cs="Times New Roman"/>
          <w:color w:val="000000" w:themeColor="text1"/>
          <w:szCs w:val="24"/>
        </w:rPr>
      </w:pPr>
      <w:r>
        <w:rPr>
          <w:rFonts w:cs="Times New Roman"/>
          <w:color w:val="000000" w:themeColor="text1"/>
          <w:szCs w:val="24"/>
        </w:rPr>
        <w:t>the community college.</w:t>
      </w:r>
      <w:r w:rsidR="00A866B8" w:rsidRPr="00291504">
        <w:rPr>
          <w:rFonts w:cs="Times New Roman"/>
          <w:color w:val="000000" w:themeColor="text1"/>
          <w:szCs w:val="24"/>
        </w:rPr>
        <w:t xml:space="preserve"> </w:t>
      </w:r>
      <w:r w:rsidR="00A866B8" w:rsidRPr="00291504">
        <w:rPr>
          <w:rFonts w:cs="Times New Roman"/>
          <w:i/>
          <w:color w:val="000000" w:themeColor="text1"/>
          <w:szCs w:val="24"/>
        </w:rPr>
        <w:t>Community College Review</w:t>
      </w:r>
      <w:r w:rsidR="00A866B8" w:rsidRPr="00291504">
        <w:rPr>
          <w:rFonts w:cs="Times New Roman"/>
          <w:color w:val="000000" w:themeColor="text1"/>
          <w:szCs w:val="24"/>
        </w:rPr>
        <w:t xml:space="preserve">, </w:t>
      </w:r>
      <w:r w:rsidR="00A866B8" w:rsidRPr="00291504">
        <w:rPr>
          <w:rFonts w:cs="Times New Roman"/>
          <w:i/>
          <w:color w:val="000000" w:themeColor="text1"/>
          <w:szCs w:val="24"/>
        </w:rPr>
        <w:t>45</w:t>
      </w:r>
      <w:r w:rsidR="00A866B8" w:rsidRPr="00291504">
        <w:rPr>
          <w:rFonts w:cs="Times New Roman"/>
          <w:color w:val="000000" w:themeColor="text1"/>
          <w:szCs w:val="24"/>
        </w:rPr>
        <w:t xml:space="preserve">(2), 79-98. </w:t>
      </w:r>
      <w:hyperlink r:id="rId54" w:history="1">
        <w:r w:rsidR="00A866B8" w:rsidRPr="00291504">
          <w:rPr>
            <w:rFonts w:cs="Times New Roman"/>
            <w:color w:val="0563C1" w:themeColor="hyperlink"/>
            <w:szCs w:val="24"/>
            <w:u w:val="single"/>
          </w:rPr>
          <w:t>https://doi.org/10.1177/0091552116682590</w:t>
        </w:r>
      </w:hyperlink>
    </w:p>
    <w:p w14:paraId="23BB9C97" w14:textId="45EFD6F5" w:rsidR="005C193B" w:rsidRDefault="005C193B" w:rsidP="00A866B8">
      <w:pPr>
        <w:ind w:left="720" w:hanging="720"/>
        <w:rPr>
          <w:rFonts w:cs="Times New Roman"/>
          <w:szCs w:val="24"/>
          <w:shd w:val="clear" w:color="auto" w:fill="FFFFFF"/>
        </w:rPr>
      </w:pPr>
      <w:r>
        <w:rPr>
          <w:rFonts w:cs="Times New Roman"/>
          <w:szCs w:val="24"/>
          <w:shd w:val="clear" w:color="auto" w:fill="FFFFFF"/>
        </w:rPr>
        <w:t xml:space="preserve">Hemelt, S. W. &amp; Swiderski, T. (2022). College comes to high school: Participation and performance in Tennessee’s innovative wave of dual-credit courses. </w:t>
      </w:r>
      <w:r w:rsidRPr="00E163C5">
        <w:rPr>
          <w:rFonts w:cs="Times New Roman"/>
          <w:i/>
          <w:iCs/>
          <w:szCs w:val="24"/>
          <w:shd w:val="clear" w:color="auto" w:fill="FFFFFF"/>
        </w:rPr>
        <w:t>Educational Evaluation and Policy Analysis</w:t>
      </w:r>
      <w:r w:rsidR="00E163C5">
        <w:rPr>
          <w:rFonts w:cs="Times New Roman"/>
          <w:i/>
          <w:iCs/>
          <w:szCs w:val="24"/>
          <w:shd w:val="clear" w:color="auto" w:fill="FFFFFF"/>
        </w:rPr>
        <w:t>,</w:t>
      </w:r>
      <w:r w:rsidRPr="00E163C5">
        <w:rPr>
          <w:rFonts w:cs="Times New Roman"/>
          <w:i/>
          <w:iCs/>
          <w:szCs w:val="24"/>
          <w:shd w:val="clear" w:color="auto" w:fill="FFFFFF"/>
        </w:rPr>
        <w:t xml:space="preserve"> (44)</w:t>
      </w:r>
      <w:r>
        <w:rPr>
          <w:rFonts w:cs="Times New Roman"/>
          <w:szCs w:val="24"/>
          <w:shd w:val="clear" w:color="auto" w:fill="FFFFFF"/>
        </w:rPr>
        <w:t>2</w:t>
      </w:r>
      <w:r w:rsidR="00DB797F">
        <w:rPr>
          <w:rFonts w:cs="Times New Roman"/>
          <w:szCs w:val="24"/>
          <w:shd w:val="clear" w:color="auto" w:fill="FFFFFF"/>
        </w:rPr>
        <w:t>,</w:t>
      </w:r>
      <w:r>
        <w:rPr>
          <w:rFonts w:cs="Times New Roman"/>
          <w:szCs w:val="24"/>
          <w:shd w:val="clear" w:color="auto" w:fill="FFFFFF"/>
        </w:rPr>
        <w:t xml:space="preserve"> 313-341. </w:t>
      </w:r>
      <w:hyperlink r:id="rId55" w:history="1">
        <w:r w:rsidRPr="00AB051E">
          <w:rPr>
            <w:rStyle w:val="Hyperlink"/>
            <w:rFonts w:cs="Times New Roman"/>
            <w:szCs w:val="24"/>
            <w:shd w:val="clear" w:color="auto" w:fill="FFFFFF"/>
          </w:rPr>
          <w:t>https://doi.org/10.3102/01623737211052310</w:t>
        </w:r>
      </w:hyperlink>
      <w:r>
        <w:rPr>
          <w:rFonts w:cs="Times New Roman"/>
          <w:szCs w:val="24"/>
          <w:shd w:val="clear" w:color="auto" w:fill="FFFFFF"/>
        </w:rPr>
        <w:t xml:space="preserve"> </w:t>
      </w:r>
    </w:p>
    <w:p w14:paraId="082C889E" w14:textId="52C522B9" w:rsidR="005B7DE3" w:rsidRDefault="005B7DE3" w:rsidP="00A866B8">
      <w:pPr>
        <w:ind w:left="720" w:hanging="720"/>
        <w:rPr>
          <w:rFonts w:cs="Times New Roman"/>
          <w:szCs w:val="24"/>
          <w:shd w:val="clear" w:color="auto" w:fill="FFFFFF"/>
        </w:rPr>
      </w:pPr>
      <w:r w:rsidRPr="00747749">
        <w:rPr>
          <w:rFonts w:cs="Times New Roman"/>
          <w:szCs w:val="24"/>
          <w:shd w:val="clear" w:color="auto" w:fill="FFFFFF"/>
        </w:rPr>
        <w:t>Hen</w:t>
      </w:r>
      <w:r>
        <w:rPr>
          <w:rFonts w:cs="Times New Roman"/>
          <w:szCs w:val="24"/>
          <w:shd w:val="clear" w:color="auto" w:fill="FFFFFF"/>
        </w:rPr>
        <w:t>neberger, A.</w:t>
      </w:r>
      <w:r w:rsidR="005D68DA">
        <w:rPr>
          <w:rFonts w:cs="Times New Roman"/>
          <w:szCs w:val="24"/>
          <w:shd w:val="clear" w:color="auto" w:fill="FFFFFF"/>
        </w:rPr>
        <w:t xml:space="preserve"> </w:t>
      </w:r>
      <w:r>
        <w:rPr>
          <w:rFonts w:cs="Times New Roman"/>
          <w:szCs w:val="24"/>
          <w:shd w:val="clear" w:color="auto" w:fill="FFFFFF"/>
        </w:rPr>
        <w:t xml:space="preserve">K., Witzen, H., </w:t>
      </w:r>
      <w:r w:rsidR="005D68DA">
        <w:rPr>
          <w:rFonts w:cs="Times New Roman"/>
          <w:szCs w:val="24"/>
          <w:shd w:val="clear" w:color="auto" w:fill="FFFFFF"/>
        </w:rPr>
        <w:t xml:space="preserve">&amp; </w:t>
      </w:r>
      <w:r>
        <w:rPr>
          <w:rFonts w:cs="Times New Roman"/>
          <w:szCs w:val="24"/>
          <w:shd w:val="clear" w:color="auto" w:fill="FFFFFF"/>
        </w:rPr>
        <w:t>Preston, A.</w:t>
      </w:r>
      <w:r w:rsidR="005D68DA">
        <w:rPr>
          <w:rFonts w:cs="Times New Roman"/>
          <w:szCs w:val="24"/>
          <w:shd w:val="clear" w:color="auto" w:fill="FFFFFF"/>
        </w:rPr>
        <w:t xml:space="preserve"> </w:t>
      </w:r>
      <w:r>
        <w:rPr>
          <w:rFonts w:cs="Times New Roman"/>
          <w:szCs w:val="24"/>
          <w:shd w:val="clear" w:color="auto" w:fill="FFFFFF"/>
        </w:rPr>
        <w:t>M. (202</w:t>
      </w:r>
      <w:r w:rsidR="00DB4B11">
        <w:rPr>
          <w:rFonts w:cs="Times New Roman"/>
          <w:szCs w:val="24"/>
          <w:shd w:val="clear" w:color="auto" w:fill="FFFFFF"/>
        </w:rPr>
        <w:t>2</w:t>
      </w:r>
      <w:r>
        <w:rPr>
          <w:rFonts w:cs="Times New Roman"/>
          <w:szCs w:val="24"/>
          <w:shd w:val="clear" w:color="auto" w:fill="FFFFFF"/>
        </w:rPr>
        <w:t xml:space="preserve">). A longitudinal study examining dual enrollment as a strategy for easing the transition to college and career for emerging adults. </w:t>
      </w:r>
      <w:r w:rsidRPr="00747749">
        <w:rPr>
          <w:rFonts w:cs="Times New Roman"/>
          <w:i/>
          <w:iCs/>
          <w:szCs w:val="24"/>
          <w:shd w:val="clear" w:color="auto" w:fill="FFFFFF"/>
        </w:rPr>
        <w:t>Emerging Adulthood</w:t>
      </w:r>
      <w:r w:rsidR="00E163C5">
        <w:rPr>
          <w:rFonts w:cs="Times New Roman"/>
          <w:i/>
          <w:iCs/>
          <w:szCs w:val="24"/>
          <w:shd w:val="clear" w:color="auto" w:fill="FFFFFF"/>
        </w:rPr>
        <w:t>,</w:t>
      </w:r>
      <w:r w:rsidR="00747749">
        <w:rPr>
          <w:rFonts w:cs="Times New Roman"/>
          <w:i/>
          <w:iCs/>
          <w:szCs w:val="24"/>
          <w:shd w:val="clear" w:color="auto" w:fill="FFFFFF"/>
        </w:rPr>
        <w:t xml:space="preserve"> </w:t>
      </w:r>
      <w:r w:rsidR="00AE4E63" w:rsidRPr="00747749">
        <w:rPr>
          <w:rFonts w:cs="Times New Roman"/>
          <w:i/>
          <w:iCs/>
          <w:szCs w:val="24"/>
          <w:shd w:val="clear" w:color="auto" w:fill="FFFFFF"/>
        </w:rPr>
        <w:t>10</w:t>
      </w:r>
      <w:r w:rsidR="00AE4E63">
        <w:rPr>
          <w:rFonts w:cs="Times New Roman"/>
          <w:szCs w:val="24"/>
          <w:shd w:val="clear" w:color="auto" w:fill="FFFFFF"/>
        </w:rPr>
        <w:t>(1)</w:t>
      </w:r>
      <w:r w:rsidR="002364BE">
        <w:rPr>
          <w:rFonts w:cs="Times New Roman"/>
          <w:szCs w:val="24"/>
          <w:shd w:val="clear" w:color="auto" w:fill="FFFFFF"/>
        </w:rPr>
        <w:t>,</w:t>
      </w:r>
      <w:r w:rsidR="00AE4E63">
        <w:rPr>
          <w:rFonts w:cs="Times New Roman"/>
          <w:szCs w:val="24"/>
          <w:shd w:val="clear" w:color="auto" w:fill="FFFFFF"/>
        </w:rPr>
        <w:t xml:space="preserve"> 225-236. </w:t>
      </w:r>
      <w:hyperlink r:id="rId56" w:history="1">
        <w:r w:rsidR="00AE4E63" w:rsidRPr="004D3947">
          <w:rPr>
            <w:rStyle w:val="Hyperlink"/>
            <w:rFonts w:cs="Times New Roman"/>
            <w:szCs w:val="24"/>
            <w:shd w:val="clear" w:color="auto" w:fill="FFFFFF"/>
          </w:rPr>
          <w:t>https://doi.org/10.1177/2167696820922052</w:t>
        </w:r>
      </w:hyperlink>
      <w:r w:rsidR="00AE4E63">
        <w:rPr>
          <w:rFonts w:cs="Times New Roman"/>
          <w:szCs w:val="24"/>
          <w:shd w:val="clear" w:color="auto" w:fill="FFFFFF"/>
        </w:rPr>
        <w:t xml:space="preserve"> </w:t>
      </w:r>
    </w:p>
    <w:p w14:paraId="397F725D" w14:textId="5F89757D" w:rsidR="00D80A23" w:rsidRDefault="00D80A23" w:rsidP="00A866B8">
      <w:pPr>
        <w:ind w:left="720" w:hanging="720"/>
        <w:rPr>
          <w:rFonts w:cs="Times New Roman"/>
          <w:szCs w:val="24"/>
          <w:shd w:val="clear" w:color="auto" w:fill="FFFFFF"/>
        </w:rPr>
      </w:pPr>
      <w:r>
        <w:rPr>
          <w:rFonts w:cs="Times New Roman"/>
          <w:szCs w:val="24"/>
          <w:shd w:val="clear" w:color="auto" w:fill="FFFFFF"/>
        </w:rPr>
        <w:t xml:space="preserve">Hofmann, E. (2012). Why dual enrollment? </w:t>
      </w:r>
      <w:r w:rsidRPr="00D80A23">
        <w:rPr>
          <w:rFonts w:cs="Times New Roman"/>
          <w:i/>
          <w:iCs/>
          <w:szCs w:val="24"/>
          <w:shd w:val="clear" w:color="auto" w:fill="FFFFFF"/>
        </w:rPr>
        <w:t xml:space="preserve">New Directions for </w:t>
      </w:r>
      <w:r>
        <w:rPr>
          <w:rFonts w:cs="Times New Roman"/>
          <w:i/>
          <w:iCs/>
          <w:szCs w:val="24"/>
          <w:shd w:val="clear" w:color="auto" w:fill="FFFFFF"/>
        </w:rPr>
        <w:t>H</w:t>
      </w:r>
      <w:r w:rsidRPr="00D80A23">
        <w:rPr>
          <w:rFonts w:cs="Times New Roman"/>
          <w:i/>
          <w:iCs/>
          <w:szCs w:val="24"/>
          <w:shd w:val="clear" w:color="auto" w:fill="FFFFFF"/>
        </w:rPr>
        <w:t xml:space="preserve">igher </w:t>
      </w:r>
      <w:r>
        <w:rPr>
          <w:rFonts w:cs="Times New Roman"/>
          <w:i/>
          <w:iCs/>
          <w:szCs w:val="24"/>
          <w:shd w:val="clear" w:color="auto" w:fill="FFFFFF"/>
        </w:rPr>
        <w:t>E</w:t>
      </w:r>
      <w:r w:rsidRPr="00D80A23">
        <w:rPr>
          <w:rFonts w:cs="Times New Roman"/>
          <w:i/>
          <w:iCs/>
          <w:szCs w:val="24"/>
          <w:shd w:val="clear" w:color="auto" w:fill="FFFFFF"/>
        </w:rPr>
        <w:t>ducation, 2012</w:t>
      </w:r>
      <w:r>
        <w:rPr>
          <w:rFonts w:cs="Times New Roman"/>
          <w:szCs w:val="24"/>
          <w:shd w:val="clear" w:color="auto" w:fill="FFFFFF"/>
        </w:rPr>
        <w:t xml:space="preserve">(158), 1-8. </w:t>
      </w:r>
      <w:hyperlink r:id="rId57" w:history="1">
        <w:r w:rsidRPr="00026F15">
          <w:rPr>
            <w:rStyle w:val="Hyperlink"/>
            <w:rFonts w:cs="Times New Roman"/>
            <w:szCs w:val="24"/>
            <w:shd w:val="clear" w:color="auto" w:fill="FFFFFF"/>
          </w:rPr>
          <w:t>https://doi-org.iris.etsu.edu/10.1002/he.20009</w:t>
        </w:r>
      </w:hyperlink>
      <w:r>
        <w:rPr>
          <w:rFonts w:cs="Times New Roman"/>
          <w:szCs w:val="24"/>
          <w:shd w:val="clear" w:color="auto" w:fill="FFFFFF"/>
        </w:rPr>
        <w:t xml:space="preserve"> </w:t>
      </w:r>
    </w:p>
    <w:p w14:paraId="742DC505" w14:textId="34BD5780" w:rsidR="00A866B8" w:rsidRPr="00291504" w:rsidRDefault="00A866B8" w:rsidP="00A866B8">
      <w:pPr>
        <w:ind w:left="720" w:hanging="720"/>
        <w:rPr>
          <w:rFonts w:cs="Times New Roman"/>
          <w:szCs w:val="24"/>
        </w:rPr>
      </w:pPr>
      <w:r w:rsidRPr="00291504">
        <w:rPr>
          <w:rFonts w:cs="Times New Roman"/>
          <w:szCs w:val="24"/>
          <w:shd w:val="clear" w:color="auto" w:fill="FFFFFF"/>
        </w:rPr>
        <w:t>Holly, N.</w:t>
      </w:r>
      <w:r>
        <w:rPr>
          <w:rFonts w:cs="Times New Roman"/>
          <w:szCs w:val="24"/>
          <w:shd w:val="clear" w:color="auto" w:fill="FFFFFF"/>
        </w:rPr>
        <w:t>,</w:t>
      </w:r>
      <w:r w:rsidRPr="00291504">
        <w:rPr>
          <w:rFonts w:cs="Times New Roman"/>
          <w:szCs w:val="24"/>
          <w:shd w:val="clear" w:color="auto" w:fill="FFFFFF"/>
        </w:rPr>
        <w:t xml:space="preserve"> &amp; Fulton, M. (2017). </w:t>
      </w:r>
      <w:r w:rsidRPr="00656D2B">
        <w:rPr>
          <w:rFonts w:cs="Times New Roman"/>
          <w:i/>
          <w:iCs/>
          <w:szCs w:val="24"/>
          <w:shd w:val="clear" w:color="auto" w:fill="FFFFFF"/>
        </w:rPr>
        <w:t xml:space="preserve">Outcomes-based funding: What is the issue and why does it matter? </w:t>
      </w:r>
      <w:r w:rsidR="00EE0F66">
        <w:rPr>
          <w:rFonts w:cs="Times New Roman"/>
          <w:i/>
          <w:iCs/>
          <w:szCs w:val="24"/>
          <w:shd w:val="clear" w:color="auto" w:fill="FFFFFF"/>
        </w:rPr>
        <w:t>P</w:t>
      </w:r>
      <w:r w:rsidRPr="00656D2B">
        <w:rPr>
          <w:rFonts w:cs="Times New Roman"/>
          <w:i/>
          <w:iCs/>
          <w:szCs w:val="24"/>
          <w:shd w:val="clear" w:color="auto" w:fill="FFFFFF"/>
        </w:rPr>
        <w:t>olicy snapshot.</w:t>
      </w:r>
      <w:r w:rsidRPr="00291504">
        <w:rPr>
          <w:rFonts w:cs="Times New Roman"/>
          <w:szCs w:val="24"/>
          <w:shd w:val="clear" w:color="auto" w:fill="FFFFFF"/>
        </w:rPr>
        <w:t xml:space="preserve"> Education Commission of the States.</w:t>
      </w:r>
      <w:r w:rsidR="00656D2B">
        <w:rPr>
          <w:rFonts w:cs="Times New Roman"/>
          <w:szCs w:val="24"/>
          <w:shd w:val="clear" w:color="auto" w:fill="FFFFFF"/>
        </w:rPr>
        <w:t xml:space="preserve"> </w:t>
      </w:r>
      <w:hyperlink r:id="rId58" w:history="1">
        <w:r w:rsidR="00656D2B" w:rsidRPr="004841C6">
          <w:rPr>
            <w:rStyle w:val="Hyperlink"/>
            <w:rFonts w:cs="Times New Roman"/>
            <w:szCs w:val="24"/>
            <w:shd w:val="clear" w:color="auto" w:fill="FFFFFF"/>
          </w:rPr>
          <w:t>https://www.ecs.org/wp-content/uploads/Policy-Snapshot-Outcomes-Based-Funding.pdf</w:t>
        </w:r>
      </w:hyperlink>
      <w:r w:rsidR="00656D2B">
        <w:rPr>
          <w:rFonts w:cs="Times New Roman"/>
          <w:szCs w:val="24"/>
          <w:shd w:val="clear" w:color="auto" w:fill="FFFFFF"/>
        </w:rPr>
        <w:t xml:space="preserve"> </w:t>
      </w:r>
    </w:p>
    <w:p w14:paraId="34768471" w14:textId="754A8ECB" w:rsidR="004D4722" w:rsidRDefault="00121891" w:rsidP="0067158D">
      <w:pPr>
        <w:ind w:left="720" w:hanging="720"/>
        <w:rPr>
          <w:rFonts w:cs="Times New Roman"/>
          <w:color w:val="000000" w:themeColor="text1"/>
          <w:szCs w:val="24"/>
        </w:rPr>
      </w:pPr>
      <w:r>
        <w:rPr>
          <w:rFonts w:cs="Times New Roman"/>
          <w:color w:val="000000" w:themeColor="text1"/>
          <w:szCs w:val="24"/>
        </w:rPr>
        <w:lastRenderedPageBreak/>
        <w:t xml:space="preserve">IPEDS. (n.d.). </w:t>
      </w:r>
      <w:r w:rsidRPr="00121891">
        <w:rPr>
          <w:rFonts w:cs="Times New Roman"/>
          <w:i/>
          <w:iCs/>
          <w:color w:val="000000" w:themeColor="text1"/>
          <w:szCs w:val="24"/>
        </w:rPr>
        <w:t>Glossary.</w:t>
      </w:r>
      <w:r>
        <w:rPr>
          <w:rFonts w:cs="Times New Roman"/>
          <w:color w:val="000000" w:themeColor="text1"/>
          <w:szCs w:val="24"/>
        </w:rPr>
        <w:t xml:space="preserve"> </w:t>
      </w:r>
      <w:r w:rsidR="002364BE">
        <w:rPr>
          <w:rFonts w:cs="Times New Roman"/>
          <w:color w:val="000000" w:themeColor="text1"/>
          <w:szCs w:val="24"/>
        </w:rPr>
        <w:t xml:space="preserve">Retrieved July 11, 2025, from </w:t>
      </w:r>
      <w:hyperlink r:id="rId59" w:history="1">
        <w:r w:rsidR="002364BE" w:rsidRPr="00026F15">
          <w:rPr>
            <w:rStyle w:val="Hyperlink"/>
            <w:rFonts w:cs="Times New Roman"/>
            <w:szCs w:val="24"/>
          </w:rPr>
          <w:t>https://surveys.nces.ed.gov/ipeds/public/glossary</w:t>
        </w:r>
      </w:hyperlink>
      <w:r>
        <w:rPr>
          <w:rFonts w:cs="Times New Roman"/>
          <w:color w:val="000000" w:themeColor="text1"/>
          <w:szCs w:val="24"/>
        </w:rPr>
        <w:t xml:space="preserve"> </w:t>
      </w:r>
    </w:p>
    <w:p w14:paraId="34F87DB4" w14:textId="6552CC5A" w:rsidR="00881CAA" w:rsidRDefault="00881CAA" w:rsidP="00881CAA">
      <w:pPr>
        <w:ind w:left="720" w:hanging="720"/>
        <w:rPr>
          <w:rFonts w:cs="Times New Roman"/>
          <w:color w:val="000000" w:themeColor="text1"/>
          <w:szCs w:val="24"/>
        </w:rPr>
      </w:pPr>
      <w:r>
        <w:rPr>
          <w:rFonts w:cs="Times New Roman"/>
          <w:color w:val="000000" w:themeColor="text1"/>
          <w:szCs w:val="24"/>
        </w:rPr>
        <w:t>Irwin, S.</w:t>
      </w:r>
      <w:r w:rsidR="005D68DA">
        <w:rPr>
          <w:rFonts w:cs="Times New Roman"/>
          <w:color w:val="000000" w:themeColor="text1"/>
          <w:szCs w:val="24"/>
        </w:rPr>
        <w:t xml:space="preserve"> </w:t>
      </w:r>
      <w:r>
        <w:rPr>
          <w:rFonts w:cs="Times New Roman"/>
          <w:color w:val="000000" w:themeColor="text1"/>
          <w:szCs w:val="24"/>
        </w:rPr>
        <w:t xml:space="preserve">S. (2018). </w:t>
      </w:r>
      <w:r w:rsidRPr="00881CAA">
        <w:rPr>
          <w:rFonts w:cs="Times New Roman"/>
          <w:i/>
          <w:color w:val="000000" w:themeColor="text1"/>
          <w:szCs w:val="24"/>
        </w:rPr>
        <w:t>The effects of dual enrollment on an institution: Student persistence and degree attainment at the community college.</w:t>
      </w:r>
      <w:r>
        <w:rPr>
          <w:rFonts w:cs="Times New Roman"/>
          <w:color w:val="000000" w:themeColor="text1"/>
          <w:szCs w:val="24"/>
        </w:rPr>
        <w:t xml:space="preserve"> </w:t>
      </w:r>
      <w:r w:rsidR="00C52EAD">
        <w:rPr>
          <w:rFonts w:cs="Times New Roman"/>
          <w:color w:val="000000" w:themeColor="text1"/>
          <w:szCs w:val="24"/>
        </w:rPr>
        <w:t xml:space="preserve">[Doctoral Dissertation, Mississippi State University]. </w:t>
      </w:r>
      <w:hyperlink r:id="rId60" w:history="1">
        <w:r w:rsidR="00537D92" w:rsidRPr="004841C6">
          <w:rPr>
            <w:rStyle w:val="Hyperlink"/>
            <w:rFonts w:cs="Times New Roman"/>
            <w:szCs w:val="24"/>
          </w:rPr>
          <w:t>https://scholarsjunction.msstate.edu/cgi/viewcontent.cgi?article=5401&amp;context=td</w:t>
        </w:r>
      </w:hyperlink>
      <w:r w:rsidR="00C52EAD">
        <w:rPr>
          <w:rFonts w:cs="Times New Roman"/>
          <w:color w:val="000000" w:themeColor="text1"/>
          <w:szCs w:val="24"/>
          <w:highlight w:val="yellow"/>
        </w:rPr>
        <w:t xml:space="preserve"> </w:t>
      </w:r>
    </w:p>
    <w:p w14:paraId="33778785" w14:textId="6C3C2B65" w:rsidR="00A17D4D" w:rsidRPr="0081004B" w:rsidRDefault="00A17D4D" w:rsidP="00A866B8">
      <w:pPr>
        <w:ind w:left="720" w:hanging="720"/>
        <w:rPr>
          <w:rFonts w:cs="Times New Roman"/>
          <w:color w:val="000000" w:themeColor="text1"/>
          <w:szCs w:val="24"/>
        </w:rPr>
      </w:pPr>
      <w:r w:rsidRPr="00BE17F2">
        <w:rPr>
          <w:rFonts w:cs="Times New Roman"/>
          <w:color w:val="000000" w:themeColor="text1"/>
          <w:szCs w:val="24"/>
        </w:rPr>
        <w:t>Johnson</w:t>
      </w:r>
      <w:r w:rsidR="00BE17F2" w:rsidRPr="00BE17F2">
        <w:rPr>
          <w:rFonts w:cs="Times New Roman"/>
          <w:color w:val="000000" w:themeColor="text1"/>
          <w:szCs w:val="24"/>
        </w:rPr>
        <w:t>, J.</w:t>
      </w:r>
      <w:r w:rsidR="005D68DA">
        <w:rPr>
          <w:rFonts w:cs="Times New Roman"/>
          <w:color w:val="000000" w:themeColor="text1"/>
          <w:szCs w:val="24"/>
        </w:rPr>
        <w:t xml:space="preserve"> </w:t>
      </w:r>
      <w:r w:rsidR="00BE17F2" w:rsidRPr="00BE17F2">
        <w:rPr>
          <w:rFonts w:cs="Times New Roman"/>
          <w:color w:val="000000" w:themeColor="text1"/>
          <w:szCs w:val="24"/>
        </w:rPr>
        <w:t>M., Paris, J. H., Curci, J.</w:t>
      </w:r>
      <w:r w:rsidR="005D68DA">
        <w:rPr>
          <w:rFonts w:cs="Times New Roman"/>
          <w:color w:val="000000" w:themeColor="text1"/>
          <w:szCs w:val="24"/>
        </w:rPr>
        <w:t xml:space="preserve"> </w:t>
      </w:r>
      <w:r w:rsidR="00BE17F2" w:rsidRPr="00BE17F2">
        <w:rPr>
          <w:rFonts w:cs="Times New Roman"/>
          <w:color w:val="000000" w:themeColor="text1"/>
          <w:szCs w:val="24"/>
        </w:rPr>
        <w:t xml:space="preserve">D., &amp; Horchos, S. (2024). </w:t>
      </w:r>
      <w:r w:rsidR="00BE17F2" w:rsidRPr="0081004B">
        <w:rPr>
          <w:rFonts w:cs="Times New Roman"/>
          <w:color w:val="000000" w:themeColor="text1"/>
          <w:szCs w:val="24"/>
        </w:rPr>
        <w:t>Beyond college access: An exploration of the short-term impact of a dual enrollment program.</w:t>
      </w:r>
      <w:r w:rsidR="00BE17F2" w:rsidRPr="00BE17F2">
        <w:rPr>
          <w:rFonts w:cs="Times New Roman"/>
          <w:i/>
          <w:color w:val="000000" w:themeColor="text1"/>
          <w:szCs w:val="24"/>
        </w:rPr>
        <w:t xml:space="preserve"> </w:t>
      </w:r>
      <w:r w:rsidR="0081004B" w:rsidRPr="0081004B">
        <w:rPr>
          <w:rFonts w:cs="Times New Roman"/>
          <w:i/>
          <w:color w:val="000000" w:themeColor="text1"/>
          <w:szCs w:val="24"/>
        </w:rPr>
        <w:t>Journal of College Student Retention: Resea</w:t>
      </w:r>
      <w:r w:rsidR="0081004B">
        <w:rPr>
          <w:rFonts w:cs="Times New Roman"/>
          <w:i/>
          <w:color w:val="000000" w:themeColor="text1"/>
          <w:szCs w:val="24"/>
        </w:rPr>
        <w:t>r</w:t>
      </w:r>
      <w:r w:rsidR="0081004B" w:rsidRPr="0081004B">
        <w:rPr>
          <w:rFonts w:cs="Times New Roman"/>
          <w:i/>
          <w:color w:val="000000" w:themeColor="text1"/>
          <w:szCs w:val="24"/>
        </w:rPr>
        <w:t>ch, Theory &amp; Practice,</w:t>
      </w:r>
      <w:r w:rsidR="0081004B">
        <w:rPr>
          <w:rFonts w:cs="Times New Roman"/>
          <w:i/>
          <w:color w:val="000000" w:themeColor="text1"/>
          <w:szCs w:val="24"/>
        </w:rPr>
        <w:t xml:space="preserve"> 26</w:t>
      </w:r>
      <w:r w:rsidR="0081004B" w:rsidRPr="00DC6588">
        <w:rPr>
          <w:rFonts w:cs="Times New Roman"/>
          <w:iCs/>
          <w:color w:val="000000" w:themeColor="text1"/>
          <w:szCs w:val="24"/>
        </w:rPr>
        <w:t>(1),</w:t>
      </w:r>
      <w:r w:rsidR="0081004B">
        <w:rPr>
          <w:rFonts w:cs="Times New Roman"/>
          <w:i/>
          <w:color w:val="000000" w:themeColor="text1"/>
          <w:szCs w:val="24"/>
        </w:rPr>
        <w:t xml:space="preserve"> </w:t>
      </w:r>
      <w:r w:rsidR="0081004B">
        <w:rPr>
          <w:rFonts w:cs="Times New Roman"/>
          <w:color w:val="000000" w:themeColor="text1"/>
          <w:szCs w:val="24"/>
        </w:rPr>
        <w:t xml:space="preserve">41-63. </w:t>
      </w:r>
      <w:hyperlink r:id="rId61" w:history="1">
        <w:r w:rsidR="0081004B" w:rsidRPr="008A0E4B">
          <w:rPr>
            <w:rStyle w:val="Hyperlink"/>
            <w:rFonts w:cs="Times New Roman"/>
            <w:szCs w:val="24"/>
          </w:rPr>
          <w:t>https://doi.org/10.1177/15210251211056319</w:t>
        </w:r>
      </w:hyperlink>
      <w:r w:rsidR="0081004B">
        <w:rPr>
          <w:rFonts w:cs="Times New Roman"/>
          <w:color w:val="000000" w:themeColor="text1"/>
          <w:szCs w:val="24"/>
        </w:rPr>
        <w:t xml:space="preserve"> </w:t>
      </w:r>
    </w:p>
    <w:p w14:paraId="70FE30C4" w14:textId="77777777" w:rsidR="00833AC9" w:rsidRDefault="00833AC9" w:rsidP="00833AC9">
      <w:pPr>
        <w:ind w:left="720" w:hanging="720"/>
        <w:rPr>
          <w:rFonts w:cs="Times New Roman"/>
          <w:color w:val="000000" w:themeColor="text1"/>
          <w:szCs w:val="24"/>
        </w:rPr>
      </w:pPr>
      <w:r>
        <w:rPr>
          <w:rFonts w:cs="Times New Roman"/>
          <w:color w:val="000000" w:themeColor="text1"/>
          <w:szCs w:val="24"/>
        </w:rPr>
        <w:t xml:space="preserve">Jones, S. J., (2014). Student participation in dual enrollment and college success. </w:t>
      </w:r>
      <w:r w:rsidRPr="00897873">
        <w:rPr>
          <w:rFonts w:cs="Times New Roman"/>
          <w:i/>
          <w:iCs/>
          <w:color w:val="000000" w:themeColor="text1"/>
          <w:szCs w:val="24"/>
        </w:rPr>
        <w:t xml:space="preserve">Community </w:t>
      </w:r>
      <w:r>
        <w:rPr>
          <w:rFonts w:cs="Times New Roman"/>
          <w:i/>
          <w:iCs/>
          <w:color w:val="000000" w:themeColor="text1"/>
          <w:szCs w:val="24"/>
        </w:rPr>
        <w:t>C</w:t>
      </w:r>
      <w:r w:rsidRPr="00897873">
        <w:rPr>
          <w:rFonts w:cs="Times New Roman"/>
          <w:i/>
          <w:iCs/>
          <w:color w:val="000000" w:themeColor="text1"/>
          <w:szCs w:val="24"/>
        </w:rPr>
        <w:t xml:space="preserve">ollege </w:t>
      </w:r>
      <w:r>
        <w:rPr>
          <w:rFonts w:cs="Times New Roman"/>
          <w:i/>
          <w:iCs/>
          <w:color w:val="000000" w:themeColor="text1"/>
          <w:szCs w:val="24"/>
        </w:rPr>
        <w:t>J</w:t>
      </w:r>
      <w:r w:rsidRPr="00897873">
        <w:rPr>
          <w:rFonts w:cs="Times New Roman"/>
          <w:i/>
          <w:iCs/>
          <w:color w:val="000000" w:themeColor="text1"/>
          <w:szCs w:val="24"/>
        </w:rPr>
        <w:t xml:space="preserve">ournal of </w:t>
      </w:r>
      <w:r>
        <w:rPr>
          <w:rFonts w:cs="Times New Roman"/>
          <w:i/>
          <w:iCs/>
          <w:color w:val="000000" w:themeColor="text1"/>
          <w:szCs w:val="24"/>
        </w:rPr>
        <w:t>R</w:t>
      </w:r>
      <w:r w:rsidRPr="00897873">
        <w:rPr>
          <w:rFonts w:cs="Times New Roman"/>
          <w:i/>
          <w:iCs/>
          <w:color w:val="000000" w:themeColor="text1"/>
          <w:szCs w:val="24"/>
        </w:rPr>
        <w:t xml:space="preserve">esearch and </w:t>
      </w:r>
      <w:r>
        <w:rPr>
          <w:rFonts w:cs="Times New Roman"/>
          <w:i/>
          <w:iCs/>
          <w:color w:val="000000" w:themeColor="text1"/>
          <w:szCs w:val="24"/>
        </w:rPr>
        <w:t>P</w:t>
      </w:r>
      <w:r w:rsidRPr="00897873">
        <w:rPr>
          <w:rFonts w:cs="Times New Roman"/>
          <w:i/>
          <w:iCs/>
          <w:color w:val="000000" w:themeColor="text1"/>
          <w:szCs w:val="24"/>
        </w:rPr>
        <w:t>ractice, 2014</w:t>
      </w:r>
      <w:r>
        <w:rPr>
          <w:rFonts w:cs="Times New Roman"/>
          <w:color w:val="000000" w:themeColor="text1"/>
          <w:szCs w:val="24"/>
        </w:rPr>
        <w:t xml:space="preserve">(38), 24-37. </w:t>
      </w:r>
      <w:hyperlink r:id="rId62" w:history="1">
        <w:r w:rsidRPr="004D3947">
          <w:rPr>
            <w:rStyle w:val="Hyperlink"/>
            <w:rFonts w:cs="Times New Roman"/>
            <w:szCs w:val="24"/>
          </w:rPr>
          <w:t>https://doi.org/10.1080/10668926.2010.532449</w:t>
        </w:r>
      </w:hyperlink>
      <w:r>
        <w:rPr>
          <w:rFonts w:cs="Times New Roman"/>
          <w:color w:val="000000" w:themeColor="text1"/>
          <w:szCs w:val="24"/>
        </w:rPr>
        <w:t xml:space="preserve"> </w:t>
      </w:r>
    </w:p>
    <w:p w14:paraId="732CE9C1" w14:textId="41429C6B" w:rsidR="00A866B8" w:rsidRPr="00291504" w:rsidRDefault="00A866B8" w:rsidP="00A866B8">
      <w:pPr>
        <w:ind w:left="720" w:hanging="720"/>
        <w:rPr>
          <w:rFonts w:cs="Times New Roman"/>
          <w:color w:val="000000" w:themeColor="text1"/>
          <w:szCs w:val="24"/>
        </w:rPr>
      </w:pPr>
      <w:r w:rsidRPr="00291504">
        <w:rPr>
          <w:rFonts w:cs="Times New Roman"/>
          <w:color w:val="000000" w:themeColor="text1"/>
          <w:szCs w:val="24"/>
        </w:rPr>
        <w:t xml:space="preserve">Jones, S. J. (2017). Supporting the mission through dual enrollment. </w:t>
      </w:r>
      <w:r w:rsidRPr="00291504">
        <w:rPr>
          <w:rFonts w:cs="Times New Roman"/>
          <w:i/>
          <w:color w:val="000000" w:themeColor="text1"/>
          <w:szCs w:val="24"/>
        </w:rPr>
        <w:t>New Directions for Community Colleges, 2017</w:t>
      </w:r>
      <w:r w:rsidRPr="001965BA">
        <w:rPr>
          <w:rFonts w:cs="Times New Roman"/>
          <w:color w:val="000000" w:themeColor="text1"/>
          <w:szCs w:val="24"/>
        </w:rPr>
        <w:t>(180),</w:t>
      </w:r>
      <w:r w:rsidRPr="00291504">
        <w:rPr>
          <w:rFonts w:cs="Times New Roman"/>
          <w:color w:val="000000" w:themeColor="text1"/>
          <w:szCs w:val="24"/>
        </w:rPr>
        <w:t xml:space="preserve"> 75-83. </w:t>
      </w:r>
      <w:hyperlink r:id="rId63" w:history="1">
        <w:r w:rsidRPr="00291504">
          <w:rPr>
            <w:rFonts w:cs="Times New Roman"/>
            <w:color w:val="0563C1" w:themeColor="hyperlink"/>
            <w:szCs w:val="24"/>
            <w:u w:val="single"/>
          </w:rPr>
          <w:t>https://doi.org/10.1002/cc.20283</w:t>
        </w:r>
      </w:hyperlink>
    </w:p>
    <w:p w14:paraId="1D109331" w14:textId="65A41335" w:rsidR="00A866B8" w:rsidRPr="00291504" w:rsidRDefault="00A866B8" w:rsidP="00A866B8">
      <w:pPr>
        <w:ind w:left="720" w:hanging="720"/>
        <w:rPr>
          <w:rFonts w:cs="Times New Roman"/>
          <w:color w:val="000000" w:themeColor="text1"/>
          <w:szCs w:val="24"/>
        </w:rPr>
      </w:pPr>
      <w:r w:rsidRPr="00291504">
        <w:rPr>
          <w:rFonts w:cs="Times New Roman"/>
          <w:color w:val="000000" w:themeColor="text1"/>
          <w:szCs w:val="24"/>
        </w:rPr>
        <w:t>Kanny, M.</w:t>
      </w:r>
      <w:r>
        <w:rPr>
          <w:rFonts w:cs="Times New Roman"/>
          <w:color w:val="000000" w:themeColor="text1"/>
          <w:szCs w:val="24"/>
        </w:rPr>
        <w:t xml:space="preserve"> </w:t>
      </w:r>
      <w:r w:rsidRPr="00291504">
        <w:rPr>
          <w:rFonts w:cs="Times New Roman"/>
          <w:color w:val="000000" w:themeColor="text1"/>
          <w:szCs w:val="24"/>
        </w:rPr>
        <w:t xml:space="preserve">A. (2015). Dual enrollment participation from the student perspective. </w:t>
      </w:r>
      <w:r w:rsidRPr="00291504">
        <w:rPr>
          <w:rFonts w:cs="Times New Roman"/>
          <w:i/>
          <w:color w:val="000000" w:themeColor="text1"/>
          <w:szCs w:val="24"/>
        </w:rPr>
        <w:t>New Directions for Community Colleges, 2015</w:t>
      </w:r>
      <w:r w:rsidRPr="000234F6">
        <w:rPr>
          <w:rFonts w:cs="Times New Roman"/>
          <w:iCs/>
          <w:color w:val="000000" w:themeColor="text1"/>
          <w:szCs w:val="24"/>
        </w:rPr>
        <w:t>(169),</w:t>
      </w:r>
      <w:r w:rsidRPr="00291504">
        <w:rPr>
          <w:rFonts w:cs="Times New Roman"/>
          <w:color w:val="000000" w:themeColor="text1"/>
          <w:szCs w:val="24"/>
        </w:rPr>
        <w:t xml:space="preserve"> 59-70.</w:t>
      </w:r>
      <w:r w:rsidR="000234F6">
        <w:rPr>
          <w:rFonts w:cs="Times New Roman"/>
          <w:color w:val="000000" w:themeColor="text1"/>
          <w:szCs w:val="24"/>
        </w:rPr>
        <w:t xml:space="preserve"> </w:t>
      </w:r>
      <w:hyperlink r:id="rId64" w:history="1">
        <w:r w:rsidR="000234F6" w:rsidRPr="004841C6">
          <w:rPr>
            <w:rStyle w:val="Hyperlink"/>
            <w:rFonts w:cs="Times New Roman"/>
            <w:szCs w:val="24"/>
          </w:rPr>
          <w:t>https://doi.org/10.1002/cc.20133</w:t>
        </w:r>
      </w:hyperlink>
      <w:r w:rsidR="000234F6">
        <w:rPr>
          <w:rFonts w:cs="Times New Roman"/>
          <w:color w:val="000000" w:themeColor="text1"/>
          <w:szCs w:val="24"/>
        </w:rPr>
        <w:t xml:space="preserve"> </w:t>
      </w:r>
      <w:r w:rsidRPr="00291504">
        <w:rPr>
          <w:rFonts w:cs="Times New Roman"/>
          <w:color w:val="000000" w:themeColor="text1"/>
          <w:szCs w:val="24"/>
        </w:rPr>
        <w:t xml:space="preserve"> </w:t>
      </w:r>
    </w:p>
    <w:p w14:paraId="72A1FDB5" w14:textId="77777777" w:rsidR="001E1153" w:rsidRPr="00291504" w:rsidRDefault="001E1153" w:rsidP="001E1153">
      <w:pPr>
        <w:ind w:left="720" w:hanging="720"/>
        <w:rPr>
          <w:rFonts w:cs="Times New Roman"/>
          <w:color w:val="000000" w:themeColor="text1"/>
          <w:szCs w:val="24"/>
        </w:rPr>
      </w:pPr>
      <w:r w:rsidRPr="00291504">
        <w:rPr>
          <w:rFonts w:cs="Times New Roman"/>
          <w:color w:val="000000" w:themeColor="text1"/>
          <w:szCs w:val="24"/>
        </w:rPr>
        <w:t>Karp, M</w:t>
      </w:r>
      <w:r>
        <w:rPr>
          <w:rFonts w:cs="Times New Roman"/>
          <w:color w:val="000000" w:themeColor="text1"/>
          <w:szCs w:val="24"/>
        </w:rPr>
        <w:t>.</w:t>
      </w:r>
      <w:r w:rsidRPr="00291504">
        <w:rPr>
          <w:rFonts w:cs="Times New Roman"/>
          <w:color w:val="000000" w:themeColor="text1"/>
          <w:szCs w:val="24"/>
        </w:rPr>
        <w:t xml:space="preserve"> M. (2012). “I don’t know, I’ve never been to college!” Dual enrollment as a college readiness strategy. </w:t>
      </w:r>
      <w:r w:rsidRPr="00291504">
        <w:rPr>
          <w:rFonts w:cs="Times New Roman"/>
          <w:i/>
          <w:color w:val="000000" w:themeColor="text1"/>
          <w:szCs w:val="24"/>
        </w:rPr>
        <w:t>New Directions in Higher Education, 2012</w:t>
      </w:r>
      <w:r w:rsidRPr="001965BA">
        <w:rPr>
          <w:rFonts w:cs="Times New Roman"/>
          <w:color w:val="000000" w:themeColor="text1"/>
          <w:szCs w:val="24"/>
        </w:rPr>
        <w:t>(158),</w:t>
      </w:r>
      <w:r w:rsidRPr="00291504">
        <w:rPr>
          <w:rFonts w:cs="Times New Roman"/>
          <w:i/>
          <w:color w:val="000000" w:themeColor="text1"/>
          <w:szCs w:val="24"/>
        </w:rPr>
        <w:t xml:space="preserve"> 21-28. </w:t>
      </w:r>
      <w:r w:rsidRPr="00291504">
        <w:rPr>
          <w:rFonts w:cs="Times New Roman"/>
          <w:color w:val="000000" w:themeColor="text1"/>
          <w:szCs w:val="24"/>
        </w:rPr>
        <w:t xml:space="preserve"> </w:t>
      </w:r>
      <w:hyperlink r:id="rId65" w:history="1">
        <w:r w:rsidRPr="00291504">
          <w:rPr>
            <w:rFonts w:cs="Times New Roman"/>
            <w:color w:val="0563C1" w:themeColor="hyperlink"/>
            <w:szCs w:val="24"/>
            <w:u w:val="single"/>
          </w:rPr>
          <w:t>https://doi.org/10.1002/he.20011</w:t>
        </w:r>
      </w:hyperlink>
    </w:p>
    <w:p w14:paraId="700C774C" w14:textId="063CDC40" w:rsidR="004D4722" w:rsidRDefault="002655E9" w:rsidP="00487C83">
      <w:pPr>
        <w:ind w:left="720" w:hanging="720"/>
        <w:rPr>
          <w:rFonts w:cs="Times New Roman"/>
          <w:color w:val="000000" w:themeColor="text1"/>
          <w:szCs w:val="24"/>
        </w:rPr>
      </w:pPr>
      <w:r w:rsidRPr="00291504">
        <w:rPr>
          <w:rFonts w:cs="Times New Roman"/>
          <w:color w:val="000000" w:themeColor="text1"/>
          <w:szCs w:val="24"/>
        </w:rPr>
        <w:t>Karp, M</w:t>
      </w:r>
      <w:r>
        <w:rPr>
          <w:rFonts w:cs="Times New Roman"/>
          <w:color w:val="000000" w:themeColor="text1"/>
          <w:szCs w:val="24"/>
        </w:rPr>
        <w:t>.</w:t>
      </w:r>
      <w:r w:rsidRPr="00291504">
        <w:rPr>
          <w:rFonts w:cs="Times New Roman"/>
          <w:color w:val="000000" w:themeColor="text1"/>
          <w:szCs w:val="24"/>
        </w:rPr>
        <w:t xml:space="preserve"> M. (2015). Dual enrollment, structural reform, and the completion agenda. </w:t>
      </w:r>
      <w:r w:rsidRPr="00291504">
        <w:rPr>
          <w:rFonts w:cs="Times New Roman"/>
          <w:i/>
          <w:color w:val="000000" w:themeColor="text1"/>
          <w:szCs w:val="24"/>
        </w:rPr>
        <w:t xml:space="preserve">New </w:t>
      </w:r>
      <w:r w:rsidR="00EE0F66">
        <w:rPr>
          <w:rFonts w:cs="Times New Roman"/>
          <w:i/>
          <w:color w:val="000000" w:themeColor="text1"/>
          <w:szCs w:val="24"/>
        </w:rPr>
        <w:t>D</w:t>
      </w:r>
      <w:r w:rsidRPr="00291504">
        <w:rPr>
          <w:rFonts w:cs="Times New Roman"/>
          <w:i/>
          <w:color w:val="000000" w:themeColor="text1"/>
          <w:szCs w:val="24"/>
        </w:rPr>
        <w:t xml:space="preserve">irections for </w:t>
      </w:r>
      <w:r w:rsidR="00EE0F66">
        <w:rPr>
          <w:rFonts w:cs="Times New Roman"/>
          <w:i/>
          <w:color w:val="000000" w:themeColor="text1"/>
          <w:szCs w:val="24"/>
        </w:rPr>
        <w:t>C</w:t>
      </w:r>
      <w:r w:rsidRPr="00291504">
        <w:rPr>
          <w:rFonts w:cs="Times New Roman"/>
          <w:i/>
          <w:color w:val="000000" w:themeColor="text1"/>
          <w:szCs w:val="24"/>
        </w:rPr>
        <w:t xml:space="preserve">ommunity </w:t>
      </w:r>
      <w:r w:rsidR="00EE0F66">
        <w:rPr>
          <w:rFonts w:cs="Times New Roman"/>
          <w:i/>
          <w:color w:val="000000" w:themeColor="text1"/>
          <w:szCs w:val="24"/>
        </w:rPr>
        <w:t>C</w:t>
      </w:r>
      <w:r w:rsidRPr="00291504">
        <w:rPr>
          <w:rFonts w:cs="Times New Roman"/>
          <w:i/>
          <w:color w:val="000000" w:themeColor="text1"/>
          <w:szCs w:val="24"/>
        </w:rPr>
        <w:t>olleges, 2015</w:t>
      </w:r>
      <w:r w:rsidRPr="001965BA">
        <w:rPr>
          <w:rFonts w:cs="Times New Roman"/>
          <w:color w:val="000000" w:themeColor="text1"/>
          <w:szCs w:val="24"/>
        </w:rPr>
        <w:t>(169),</w:t>
      </w:r>
      <w:r w:rsidRPr="00291504">
        <w:rPr>
          <w:rFonts w:cs="Times New Roman"/>
          <w:color w:val="000000" w:themeColor="text1"/>
          <w:szCs w:val="24"/>
        </w:rPr>
        <w:t xml:space="preserve"> 103-111.</w:t>
      </w:r>
      <w:r w:rsidR="00820282">
        <w:t xml:space="preserve"> </w:t>
      </w:r>
      <w:hyperlink r:id="rId66" w:history="1">
        <w:r w:rsidR="00820282" w:rsidRPr="004841C6">
          <w:rPr>
            <w:rStyle w:val="Hyperlink"/>
          </w:rPr>
          <w:t>https://doi.org/10.1002/cc.20137</w:t>
        </w:r>
      </w:hyperlink>
      <w:r w:rsidR="00820282">
        <w:t xml:space="preserve"> </w:t>
      </w:r>
      <w:r w:rsidR="00820282">
        <w:rPr>
          <w:rFonts w:cs="Times New Roman"/>
          <w:color w:val="000000" w:themeColor="text1"/>
          <w:szCs w:val="24"/>
        </w:rPr>
        <w:t xml:space="preserve"> </w:t>
      </w:r>
    </w:p>
    <w:p w14:paraId="32859CD2" w14:textId="13DBBDC9" w:rsidR="00F14512" w:rsidRDefault="00F14512" w:rsidP="00A866B8">
      <w:pPr>
        <w:ind w:left="720" w:hanging="720"/>
        <w:rPr>
          <w:rFonts w:cs="Times New Roman"/>
          <w:color w:val="000000" w:themeColor="text1"/>
          <w:szCs w:val="24"/>
        </w:rPr>
      </w:pPr>
      <w:r>
        <w:rPr>
          <w:rFonts w:cs="Times New Roman"/>
          <w:color w:val="000000" w:themeColor="text1"/>
          <w:szCs w:val="24"/>
        </w:rPr>
        <w:lastRenderedPageBreak/>
        <w:t>Karp, M.</w:t>
      </w:r>
      <w:r w:rsidR="005D68DA">
        <w:rPr>
          <w:rFonts w:cs="Times New Roman"/>
          <w:color w:val="000000" w:themeColor="text1"/>
          <w:szCs w:val="24"/>
        </w:rPr>
        <w:t xml:space="preserve"> </w:t>
      </w:r>
      <w:r>
        <w:rPr>
          <w:rFonts w:cs="Times New Roman"/>
          <w:color w:val="000000" w:themeColor="text1"/>
          <w:szCs w:val="24"/>
        </w:rPr>
        <w:t xml:space="preserve">M., Calcagno, J. C., Hughes, K. L., Jeong, D. W., &amp; Bailey, T. R. (2007). </w:t>
      </w:r>
      <w:r w:rsidRPr="00820282">
        <w:rPr>
          <w:rFonts w:cs="Times New Roman"/>
          <w:i/>
          <w:iCs/>
          <w:color w:val="000000" w:themeColor="text1"/>
          <w:szCs w:val="24"/>
        </w:rPr>
        <w:t>The postsecondary achievement of participants in dual enrollment: An analysis of student outcomes in two states.</w:t>
      </w:r>
      <w:r>
        <w:rPr>
          <w:rFonts w:cs="Times New Roman"/>
          <w:color w:val="000000" w:themeColor="text1"/>
          <w:szCs w:val="24"/>
        </w:rPr>
        <w:t xml:space="preserve"> Community College Research Center.</w:t>
      </w:r>
      <w:r w:rsidR="00820282">
        <w:rPr>
          <w:rFonts w:cs="Times New Roman"/>
          <w:color w:val="000000" w:themeColor="text1"/>
          <w:szCs w:val="24"/>
        </w:rPr>
        <w:t xml:space="preserve"> </w:t>
      </w:r>
      <w:hyperlink r:id="rId67" w:history="1">
        <w:r w:rsidR="00820282" w:rsidRPr="004841C6">
          <w:rPr>
            <w:rStyle w:val="Hyperlink"/>
            <w:rFonts w:cs="Times New Roman"/>
            <w:szCs w:val="24"/>
          </w:rPr>
          <w:t>https://ccrc.tc.columbia.edu/wp-content/uploads/2008/10/dual-enrollment-student-outcomes.pdf</w:t>
        </w:r>
      </w:hyperlink>
      <w:r w:rsidR="00820282">
        <w:rPr>
          <w:rFonts w:cs="Times New Roman"/>
          <w:color w:val="000000" w:themeColor="text1"/>
          <w:szCs w:val="24"/>
        </w:rPr>
        <w:t xml:space="preserve"> </w:t>
      </w:r>
    </w:p>
    <w:p w14:paraId="1FEB7EDE" w14:textId="53F9F947" w:rsidR="00A866B8" w:rsidRPr="00291504" w:rsidRDefault="00A866B8" w:rsidP="00A866B8">
      <w:pPr>
        <w:ind w:left="720" w:hanging="720"/>
        <w:rPr>
          <w:rFonts w:cs="Times New Roman"/>
          <w:color w:val="000000" w:themeColor="text1"/>
          <w:szCs w:val="24"/>
        </w:rPr>
      </w:pPr>
      <w:r w:rsidRPr="00291504">
        <w:rPr>
          <w:rFonts w:cs="Times New Roman"/>
          <w:color w:val="000000" w:themeColor="text1"/>
          <w:szCs w:val="24"/>
        </w:rPr>
        <w:t>Karp, M.</w:t>
      </w:r>
      <w:r>
        <w:rPr>
          <w:rFonts w:cs="Times New Roman"/>
          <w:color w:val="000000" w:themeColor="text1"/>
          <w:szCs w:val="24"/>
        </w:rPr>
        <w:t xml:space="preserve"> </w:t>
      </w:r>
      <w:r w:rsidRPr="00291504">
        <w:rPr>
          <w:rFonts w:cs="Times New Roman"/>
          <w:color w:val="000000" w:themeColor="text1"/>
          <w:szCs w:val="24"/>
        </w:rPr>
        <w:t>M., &amp; Hughes, K.</w:t>
      </w:r>
      <w:r>
        <w:rPr>
          <w:rFonts w:cs="Times New Roman"/>
          <w:color w:val="000000" w:themeColor="text1"/>
          <w:szCs w:val="24"/>
        </w:rPr>
        <w:t xml:space="preserve"> </w:t>
      </w:r>
      <w:r w:rsidRPr="00291504">
        <w:rPr>
          <w:rFonts w:cs="Times New Roman"/>
          <w:color w:val="000000" w:themeColor="text1"/>
          <w:szCs w:val="24"/>
        </w:rPr>
        <w:t xml:space="preserve">L. (2008). Study: Dual enrollment can benefit a broad range of students. </w:t>
      </w:r>
      <w:r w:rsidRPr="00291504">
        <w:rPr>
          <w:rFonts w:cs="Times New Roman"/>
          <w:i/>
          <w:color w:val="000000" w:themeColor="text1"/>
          <w:szCs w:val="24"/>
        </w:rPr>
        <w:t>Techniques: Connecting Education &amp; Careers, 83</w:t>
      </w:r>
      <w:r w:rsidRPr="001965BA">
        <w:rPr>
          <w:rFonts w:cs="Times New Roman"/>
          <w:color w:val="000000" w:themeColor="text1"/>
          <w:szCs w:val="24"/>
        </w:rPr>
        <w:t>(7),</w:t>
      </w:r>
      <w:r w:rsidRPr="00291504">
        <w:rPr>
          <w:rFonts w:cs="Times New Roman"/>
          <w:color w:val="000000" w:themeColor="text1"/>
          <w:szCs w:val="24"/>
        </w:rPr>
        <w:t xml:space="preserve"> 14-17. </w:t>
      </w:r>
      <w:hyperlink r:id="rId68" w:history="1">
        <w:r w:rsidR="00C870A4" w:rsidRPr="004841C6">
          <w:rPr>
            <w:rStyle w:val="Hyperlink"/>
            <w:rFonts w:cs="Times New Roman"/>
            <w:szCs w:val="24"/>
          </w:rPr>
          <w:t>https://files.eric.ed.gov/fulltext/EJ815413.pdf</w:t>
        </w:r>
      </w:hyperlink>
      <w:r w:rsidR="00C870A4">
        <w:rPr>
          <w:rFonts w:cs="Times New Roman"/>
          <w:color w:val="000000" w:themeColor="text1"/>
          <w:szCs w:val="24"/>
        </w:rPr>
        <w:t xml:space="preserve"> </w:t>
      </w:r>
    </w:p>
    <w:p w14:paraId="3E864C60" w14:textId="46F490AF" w:rsidR="001E1153" w:rsidRDefault="002655E9" w:rsidP="00A866B8">
      <w:pPr>
        <w:ind w:left="720" w:hanging="720"/>
        <w:rPr>
          <w:rFonts w:cs="Times New Roman"/>
          <w:color w:val="000000" w:themeColor="text1"/>
          <w:szCs w:val="24"/>
        </w:rPr>
      </w:pPr>
      <w:r w:rsidRPr="00C870A4">
        <w:rPr>
          <w:rFonts w:cs="Times New Roman"/>
          <w:color w:val="000000" w:themeColor="text1"/>
          <w:szCs w:val="24"/>
        </w:rPr>
        <w:t xml:space="preserve">Karp, M. M., Hughes, K. L., </w:t>
      </w:r>
      <w:r w:rsidR="00FC2EB3">
        <w:rPr>
          <w:rFonts w:cs="Times New Roman"/>
          <w:color w:val="000000" w:themeColor="text1"/>
          <w:szCs w:val="24"/>
        </w:rPr>
        <w:t xml:space="preserve">&amp; </w:t>
      </w:r>
      <w:r w:rsidRPr="00C870A4">
        <w:rPr>
          <w:rFonts w:cs="Times New Roman"/>
          <w:color w:val="000000" w:themeColor="text1"/>
          <w:szCs w:val="24"/>
        </w:rPr>
        <w:t xml:space="preserve">Cormier, M. (2012). </w:t>
      </w:r>
      <w:r w:rsidRPr="00C870A4">
        <w:rPr>
          <w:rFonts w:cs="Times New Roman"/>
          <w:i/>
          <w:iCs/>
          <w:color w:val="000000" w:themeColor="text1"/>
          <w:szCs w:val="24"/>
        </w:rPr>
        <w:t>Dual enrollment for college completion: Findings from Tennessee and peer states.</w:t>
      </w:r>
      <w:r w:rsidR="00C870A4" w:rsidRPr="00C870A4">
        <w:rPr>
          <w:rFonts w:cs="Times New Roman"/>
          <w:i/>
          <w:iCs/>
          <w:color w:val="000000" w:themeColor="text1"/>
          <w:szCs w:val="24"/>
        </w:rPr>
        <w:t xml:space="preserve"> </w:t>
      </w:r>
      <w:r w:rsidR="00C870A4" w:rsidRPr="00C870A4">
        <w:rPr>
          <w:rFonts w:cs="Times New Roman"/>
          <w:color w:val="000000" w:themeColor="text1"/>
          <w:szCs w:val="24"/>
        </w:rPr>
        <w:t>Community College Research Center.</w:t>
      </w:r>
      <w:r w:rsidRPr="00C870A4">
        <w:rPr>
          <w:rFonts w:cs="Times New Roman"/>
          <w:color w:val="000000" w:themeColor="text1"/>
          <w:szCs w:val="24"/>
        </w:rPr>
        <w:t xml:space="preserve"> </w:t>
      </w:r>
      <w:hyperlink r:id="rId69" w:history="1">
        <w:r w:rsidR="00C870A4" w:rsidRPr="004841C6">
          <w:rPr>
            <w:rStyle w:val="Hyperlink"/>
            <w:rFonts w:cs="Times New Roman"/>
            <w:szCs w:val="24"/>
          </w:rPr>
          <w:t>https://ccrc.tc.columbia.edu/wp-content/uploads/2012/06/dual-enrollment-college-completion-TN-peer-states.pdf</w:t>
        </w:r>
      </w:hyperlink>
      <w:r w:rsidR="00C870A4">
        <w:rPr>
          <w:rFonts w:cs="Times New Roman"/>
          <w:color w:val="000000" w:themeColor="text1"/>
          <w:szCs w:val="24"/>
        </w:rPr>
        <w:t xml:space="preserve"> </w:t>
      </w:r>
    </w:p>
    <w:p w14:paraId="0AAFB14E" w14:textId="3A450A92" w:rsidR="00AA5707" w:rsidRDefault="00AA5707" w:rsidP="00487C83">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Kentucky Council on Postsecondary Education. (2020). </w:t>
      </w:r>
      <w:r w:rsidRPr="00AA5707">
        <w:rPr>
          <w:rFonts w:eastAsia="Times New Roman" w:cs="Times New Roman"/>
          <w:i/>
          <w:iCs/>
          <w:color w:val="000000" w:themeColor="text1"/>
          <w:spacing w:val="3"/>
          <w:szCs w:val="24"/>
        </w:rPr>
        <w:t>Dual credit in Kentucky: Effects on persistence and GPA.</w:t>
      </w:r>
      <w:r>
        <w:rPr>
          <w:rFonts w:eastAsia="Times New Roman" w:cs="Times New Roman"/>
          <w:color w:val="000000" w:themeColor="text1"/>
          <w:spacing w:val="3"/>
          <w:szCs w:val="24"/>
        </w:rPr>
        <w:t xml:space="preserve"> Research Brief. CPE Higher Education Matters</w:t>
      </w:r>
      <w:r w:rsidRPr="00AA5707">
        <w:rPr>
          <w:rFonts w:eastAsia="Times New Roman" w:cs="Times New Roman"/>
          <w:i/>
          <w:iCs/>
          <w:color w:val="000000" w:themeColor="text1"/>
          <w:spacing w:val="3"/>
          <w:szCs w:val="24"/>
        </w:rPr>
        <w:t xml:space="preserve"> </w:t>
      </w:r>
      <w:hyperlink r:id="rId70" w:history="1">
        <w:r w:rsidRPr="002405E2">
          <w:rPr>
            <w:rStyle w:val="Hyperlink"/>
            <w:rFonts w:eastAsia="Times New Roman" w:cs="Times New Roman"/>
            <w:spacing w:val="3"/>
            <w:szCs w:val="24"/>
          </w:rPr>
          <w:t>https://cpe.ky.gov/data/reports/dualcreditbrief-2.pdf</w:t>
        </w:r>
      </w:hyperlink>
      <w:r>
        <w:rPr>
          <w:rFonts w:eastAsia="Times New Roman" w:cs="Times New Roman"/>
          <w:color w:val="000000" w:themeColor="text1"/>
          <w:spacing w:val="3"/>
          <w:szCs w:val="24"/>
        </w:rPr>
        <w:t xml:space="preserve"> </w:t>
      </w:r>
    </w:p>
    <w:p w14:paraId="15A7910E" w14:textId="3B1AB572" w:rsidR="000108F1" w:rsidRPr="00D43174" w:rsidRDefault="00902810" w:rsidP="00A866B8">
      <w:pPr>
        <w:rPr>
          <w:rFonts w:eastAsia="Times New Roman" w:cs="Times New Roman"/>
          <w:color w:val="000000" w:themeColor="text1"/>
          <w:spacing w:val="3"/>
          <w:szCs w:val="24"/>
        </w:rPr>
      </w:pPr>
      <w:r>
        <w:rPr>
          <w:rFonts w:eastAsia="Times New Roman" w:cs="Times New Roman"/>
          <w:color w:val="000000" w:themeColor="text1"/>
          <w:spacing w:val="3"/>
          <w:szCs w:val="24"/>
        </w:rPr>
        <w:t>Kim, J., Kirby, C., &amp; Bragg, D.</w:t>
      </w:r>
      <w:r w:rsidR="005D68DA">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 xml:space="preserve">D. (2006). </w:t>
      </w:r>
      <w:r w:rsidRPr="00D43174">
        <w:rPr>
          <w:rFonts w:eastAsia="Times New Roman" w:cs="Times New Roman"/>
          <w:i/>
          <w:color w:val="000000" w:themeColor="text1"/>
          <w:spacing w:val="3"/>
          <w:szCs w:val="24"/>
        </w:rPr>
        <w:t>Dual credit: Then and now</w:t>
      </w:r>
      <w:r w:rsidR="000108F1" w:rsidRPr="00D43174">
        <w:rPr>
          <w:rFonts w:eastAsia="Times New Roman" w:cs="Times New Roman"/>
          <w:i/>
          <w:color w:val="000000" w:themeColor="text1"/>
          <w:spacing w:val="3"/>
          <w:szCs w:val="24"/>
        </w:rPr>
        <w:t>.</w:t>
      </w:r>
      <w:r w:rsidR="000108F1">
        <w:rPr>
          <w:rFonts w:eastAsia="Times New Roman" w:cs="Times New Roman"/>
          <w:color w:val="000000" w:themeColor="text1"/>
          <w:spacing w:val="3"/>
          <w:szCs w:val="24"/>
        </w:rPr>
        <w:t xml:space="preserve"> </w:t>
      </w:r>
      <w:r w:rsidR="000108F1" w:rsidRPr="00D43174">
        <w:rPr>
          <w:rFonts w:eastAsia="Times New Roman" w:cs="Times New Roman"/>
          <w:color w:val="000000" w:themeColor="text1"/>
          <w:spacing w:val="3"/>
          <w:szCs w:val="24"/>
        </w:rPr>
        <w:t xml:space="preserve">In Brief. Office of </w:t>
      </w:r>
    </w:p>
    <w:p w14:paraId="587481A7" w14:textId="77777777" w:rsidR="00902810" w:rsidRDefault="000108F1" w:rsidP="000108F1">
      <w:pPr>
        <w:ind w:left="720"/>
        <w:rPr>
          <w:rFonts w:eastAsia="Times New Roman" w:cs="Times New Roman"/>
          <w:color w:val="000000" w:themeColor="text1"/>
          <w:spacing w:val="3"/>
          <w:szCs w:val="24"/>
        </w:rPr>
      </w:pPr>
      <w:r w:rsidRPr="00D43174">
        <w:rPr>
          <w:rFonts w:eastAsia="Times New Roman" w:cs="Times New Roman"/>
          <w:color w:val="000000" w:themeColor="text1"/>
          <w:spacing w:val="3"/>
          <w:szCs w:val="24"/>
        </w:rPr>
        <w:t xml:space="preserve">Community College Research and Leadership. </w:t>
      </w:r>
      <w:hyperlink r:id="rId71" w:history="1">
        <w:r w:rsidR="00663504" w:rsidRPr="00BE77E2">
          <w:rPr>
            <w:rStyle w:val="Hyperlink"/>
            <w:rFonts w:eastAsia="Times New Roman" w:cs="Times New Roman"/>
            <w:spacing w:val="3"/>
            <w:szCs w:val="24"/>
          </w:rPr>
          <w:t>https://files.eric.ed.gov/fulltext/ED495242.pdf</w:t>
        </w:r>
      </w:hyperlink>
    </w:p>
    <w:p w14:paraId="2BCFE52F" w14:textId="39AC0B49" w:rsidR="000D6A4C" w:rsidRDefault="000D6A4C"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Kisker, C. B., Cohen, A. M., &amp; Brawer, F. B. (2023). </w:t>
      </w:r>
      <w:r w:rsidRPr="000D6A4C">
        <w:rPr>
          <w:rFonts w:eastAsia="Times New Roman" w:cs="Times New Roman"/>
          <w:i/>
          <w:iCs/>
          <w:color w:val="000000" w:themeColor="text1"/>
          <w:spacing w:val="3"/>
          <w:szCs w:val="24"/>
        </w:rPr>
        <w:t>The American community college</w:t>
      </w:r>
      <w:r>
        <w:rPr>
          <w:rFonts w:eastAsia="Times New Roman" w:cs="Times New Roman"/>
          <w:color w:val="000000" w:themeColor="text1"/>
          <w:spacing w:val="3"/>
          <w:szCs w:val="24"/>
        </w:rPr>
        <w:t xml:space="preserve">. </w:t>
      </w:r>
      <w:r w:rsidR="00A1797C">
        <w:rPr>
          <w:rFonts w:eastAsia="Times New Roman" w:cs="Times New Roman"/>
          <w:color w:val="000000" w:themeColor="text1"/>
          <w:spacing w:val="3"/>
          <w:szCs w:val="24"/>
        </w:rPr>
        <w:t>(7</w:t>
      </w:r>
      <w:r w:rsidR="00A1797C" w:rsidRPr="00A1797C">
        <w:rPr>
          <w:rFonts w:eastAsia="Times New Roman" w:cs="Times New Roman"/>
          <w:color w:val="000000" w:themeColor="text1"/>
          <w:spacing w:val="3"/>
          <w:szCs w:val="24"/>
          <w:vertAlign w:val="superscript"/>
        </w:rPr>
        <w:t>th</w:t>
      </w:r>
      <w:r w:rsidR="00A1797C">
        <w:rPr>
          <w:rFonts w:eastAsia="Times New Roman" w:cs="Times New Roman"/>
          <w:color w:val="000000" w:themeColor="text1"/>
          <w:spacing w:val="3"/>
          <w:szCs w:val="24"/>
        </w:rPr>
        <w:t xml:space="preserve"> ed.). </w:t>
      </w:r>
      <w:r w:rsidR="007520E9">
        <w:rPr>
          <w:rFonts w:eastAsia="Times New Roman" w:cs="Times New Roman"/>
          <w:color w:val="000000" w:themeColor="text1"/>
          <w:spacing w:val="3"/>
          <w:szCs w:val="24"/>
        </w:rPr>
        <w:t>Jossey-Bass.</w:t>
      </w:r>
    </w:p>
    <w:p w14:paraId="04DAA874" w14:textId="77777777" w:rsidR="00410066" w:rsidRDefault="00410066" w:rsidP="00724F41">
      <w:pPr>
        <w:ind w:left="720" w:hanging="720"/>
        <w:rPr>
          <w:rFonts w:eastAsia="Times New Roman" w:cs="Times New Roman"/>
          <w:color w:val="000000" w:themeColor="text1"/>
          <w:spacing w:val="3"/>
          <w:szCs w:val="24"/>
        </w:rPr>
      </w:pPr>
    </w:p>
    <w:p w14:paraId="377B68B3" w14:textId="77777777" w:rsidR="00410066" w:rsidRDefault="00410066" w:rsidP="00724F41">
      <w:pPr>
        <w:ind w:left="720" w:hanging="720"/>
        <w:rPr>
          <w:rFonts w:eastAsia="Times New Roman" w:cs="Times New Roman"/>
          <w:color w:val="000000" w:themeColor="text1"/>
          <w:spacing w:val="3"/>
          <w:szCs w:val="24"/>
        </w:rPr>
      </w:pPr>
    </w:p>
    <w:p w14:paraId="2910CE1C" w14:textId="1CD877DF" w:rsidR="00AD5044" w:rsidRPr="00AD5044" w:rsidRDefault="00AD5044"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lastRenderedPageBreak/>
        <w:t xml:space="preserve">Klempin, S. C., Jenkins, D., &amp; Lahr, H. (2025, May 21). </w:t>
      </w:r>
      <w:r>
        <w:rPr>
          <w:rFonts w:eastAsia="Times New Roman" w:cs="Times New Roman"/>
          <w:i/>
          <w:iCs/>
          <w:color w:val="000000" w:themeColor="text1"/>
          <w:spacing w:val="3"/>
          <w:szCs w:val="24"/>
        </w:rPr>
        <w:t>On path and on schedule: Strategies for prioritizing time to completion for community colleges.</w:t>
      </w:r>
      <w:r>
        <w:rPr>
          <w:rFonts w:eastAsia="Times New Roman" w:cs="Times New Roman"/>
          <w:color w:val="000000" w:themeColor="text1"/>
          <w:spacing w:val="3"/>
          <w:szCs w:val="24"/>
        </w:rPr>
        <w:t xml:space="preserve"> Community College Research Center. Retrieved March 3, 2026, from </w:t>
      </w:r>
      <w:hyperlink r:id="rId72" w:history="1">
        <w:r w:rsidRPr="002405E2">
          <w:rPr>
            <w:rStyle w:val="Hyperlink"/>
            <w:rFonts w:eastAsia="Times New Roman" w:cs="Times New Roman"/>
            <w:spacing w:val="3"/>
            <w:szCs w:val="24"/>
          </w:rPr>
          <w:t>https://ccrc.tc.columbia.edu/easyblog/prioritizing-time-completion-community-college-students.html</w:t>
        </w:r>
      </w:hyperlink>
      <w:r>
        <w:rPr>
          <w:rFonts w:eastAsia="Times New Roman" w:cs="Times New Roman"/>
          <w:color w:val="000000" w:themeColor="text1"/>
          <w:spacing w:val="3"/>
          <w:szCs w:val="24"/>
        </w:rPr>
        <w:t xml:space="preserve"> </w:t>
      </w:r>
    </w:p>
    <w:p w14:paraId="0F000E37" w14:textId="187156F7" w:rsidR="00FD3D57" w:rsidRDefault="00FD3D57"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Knox, L. (2022</w:t>
      </w:r>
      <w:r w:rsidR="00671383">
        <w:rPr>
          <w:rFonts w:eastAsia="Times New Roman" w:cs="Times New Roman"/>
          <w:color w:val="000000" w:themeColor="text1"/>
          <w:spacing w:val="3"/>
          <w:szCs w:val="24"/>
        </w:rPr>
        <w:t>, November 21</w:t>
      </w:r>
      <w:r>
        <w:rPr>
          <w:rFonts w:eastAsia="Times New Roman" w:cs="Times New Roman"/>
          <w:color w:val="000000" w:themeColor="text1"/>
          <w:spacing w:val="3"/>
          <w:szCs w:val="24"/>
        </w:rPr>
        <w:t xml:space="preserve">). </w:t>
      </w:r>
      <w:r w:rsidRPr="000B7461">
        <w:rPr>
          <w:rFonts w:eastAsia="Times New Roman" w:cs="Times New Roman"/>
          <w:i/>
          <w:iCs/>
          <w:color w:val="000000" w:themeColor="text1"/>
          <w:spacing w:val="3"/>
          <w:szCs w:val="24"/>
        </w:rPr>
        <w:t>Can high schoolers save the community college?</w:t>
      </w:r>
      <w:r>
        <w:rPr>
          <w:rFonts w:eastAsia="Times New Roman" w:cs="Times New Roman"/>
          <w:color w:val="000000" w:themeColor="text1"/>
          <w:spacing w:val="3"/>
          <w:szCs w:val="24"/>
        </w:rPr>
        <w:t xml:space="preserve"> </w:t>
      </w:r>
      <w:r w:rsidRPr="000B7461">
        <w:rPr>
          <w:rFonts w:eastAsia="Times New Roman" w:cs="Times New Roman"/>
          <w:color w:val="000000" w:themeColor="text1"/>
          <w:spacing w:val="3"/>
          <w:szCs w:val="24"/>
        </w:rPr>
        <w:t xml:space="preserve">Inside </w:t>
      </w:r>
      <w:r w:rsidR="000B7461" w:rsidRPr="000B7461">
        <w:rPr>
          <w:rFonts w:eastAsia="Times New Roman" w:cs="Times New Roman"/>
          <w:color w:val="000000" w:themeColor="text1"/>
          <w:spacing w:val="3"/>
          <w:szCs w:val="24"/>
        </w:rPr>
        <w:t>H</w:t>
      </w:r>
      <w:r w:rsidRPr="000B7461">
        <w:rPr>
          <w:rFonts w:eastAsia="Times New Roman" w:cs="Times New Roman"/>
          <w:color w:val="000000" w:themeColor="text1"/>
          <w:spacing w:val="3"/>
          <w:szCs w:val="24"/>
        </w:rPr>
        <w:t xml:space="preserve">igher </w:t>
      </w:r>
      <w:r w:rsidR="000B7461" w:rsidRPr="000B7461">
        <w:rPr>
          <w:rFonts w:eastAsia="Times New Roman" w:cs="Times New Roman"/>
          <w:color w:val="000000" w:themeColor="text1"/>
          <w:spacing w:val="3"/>
          <w:szCs w:val="24"/>
        </w:rPr>
        <w:t>E</w:t>
      </w:r>
      <w:r w:rsidRPr="000B7461">
        <w:rPr>
          <w:rFonts w:eastAsia="Times New Roman" w:cs="Times New Roman"/>
          <w:color w:val="000000" w:themeColor="text1"/>
          <w:spacing w:val="3"/>
          <w:szCs w:val="24"/>
        </w:rPr>
        <w:t>ducation.</w:t>
      </w:r>
      <w:r>
        <w:rPr>
          <w:rFonts w:eastAsia="Times New Roman" w:cs="Times New Roman"/>
          <w:color w:val="000000" w:themeColor="text1"/>
          <w:spacing w:val="3"/>
          <w:szCs w:val="24"/>
        </w:rPr>
        <w:t xml:space="preserve"> </w:t>
      </w:r>
      <w:r w:rsidR="00497885">
        <w:rPr>
          <w:rFonts w:eastAsia="Times New Roman" w:cs="Times New Roman"/>
          <w:color w:val="000000" w:themeColor="text1"/>
          <w:spacing w:val="3"/>
          <w:szCs w:val="24"/>
        </w:rPr>
        <w:t xml:space="preserve">Retrieved May 5, 2025, from </w:t>
      </w:r>
      <w:hyperlink r:id="rId73" w:history="1">
        <w:r w:rsidR="00AD5044" w:rsidRPr="002405E2">
          <w:rPr>
            <w:rStyle w:val="Hyperlink"/>
            <w:rFonts w:eastAsia="Times New Roman" w:cs="Times New Roman"/>
            <w:spacing w:val="3"/>
            <w:szCs w:val="24"/>
          </w:rPr>
          <w:t>https://www.insidehighered.com/news/institutions/community-colleges/2022/11/21/community-colleges-struggle-dual-enrollment-grows</w:t>
        </w:r>
      </w:hyperlink>
      <w:r>
        <w:rPr>
          <w:rFonts w:eastAsia="Times New Roman" w:cs="Times New Roman"/>
          <w:color w:val="000000" w:themeColor="text1"/>
          <w:spacing w:val="3"/>
          <w:szCs w:val="24"/>
        </w:rPr>
        <w:t xml:space="preserve"> </w:t>
      </w:r>
    </w:p>
    <w:p w14:paraId="2F9A4CE2" w14:textId="5085B3C9" w:rsidR="00765285" w:rsidRDefault="00765285"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Kolluri, S. (2018). Advanced placement: The dual challenge of equal access and effectiveness. </w:t>
      </w:r>
      <w:r w:rsidRPr="00765285">
        <w:rPr>
          <w:rFonts w:eastAsia="Times New Roman" w:cs="Times New Roman"/>
          <w:i/>
          <w:iCs/>
          <w:color w:val="000000" w:themeColor="text1"/>
          <w:spacing w:val="3"/>
          <w:szCs w:val="24"/>
        </w:rPr>
        <w:t>Review of Educational Research</w:t>
      </w:r>
      <w:r w:rsidR="00DB797F">
        <w:rPr>
          <w:rFonts w:eastAsia="Times New Roman" w:cs="Times New Roman"/>
          <w:i/>
          <w:iCs/>
          <w:color w:val="000000" w:themeColor="text1"/>
          <w:spacing w:val="3"/>
          <w:szCs w:val="24"/>
        </w:rPr>
        <w:t>,</w:t>
      </w:r>
      <w:r w:rsidRPr="00765285">
        <w:rPr>
          <w:rFonts w:eastAsia="Times New Roman" w:cs="Times New Roman"/>
          <w:i/>
          <w:iCs/>
          <w:color w:val="000000" w:themeColor="text1"/>
          <w:spacing w:val="3"/>
          <w:szCs w:val="24"/>
        </w:rPr>
        <w:t xml:space="preserve"> (88)</w:t>
      </w:r>
      <w:r>
        <w:rPr>
          <w:rFonts w:eastAsia="Times New Roman" w:cs="Times New Roman"/>
          <w:color w:val="000000" w:themeColor="text1"/>
          <w:spacing w:val="3"/>
          <w:szCs w:val="24"/>
        </w:rPr>
        <w:t xml:space="preserve">5, 671-711. </w:t>
      </w:r>
      <w:hyperlink r:id="rId74" w:history="1">
        <w:r w:rsidR="00121510" w:rsidRPr="00AB051E">
          <w:rPr>
            <w:rStyle w:val="Hyperlink"/>
            <w:rFonts w:eastAsia="Times New Roman" w:cs="Times New Roman"/>
            <w:spacing w:val="3"/>
            <w:szCs w:val="24"/>
          </w:rPr>
          <w:t>https://doi.org/10.3102/0034654318787268</w:t>
        </w:r>
      </w:hyperlink>
      <w:r>
        <w:rPr>
          <w:rFonts w:eastAsia="Times New Roman" w:cs="Times New Roman"/>
          <w:color w:val="000000" w:themeColor="text1"/>
          <w:spacing w:val="3"/>
          <w:szCs w:val="24"/>
        </w:rPr>
        <w:t xml:space="preserve"> </w:t>
      </w:r>
    </w:p>
    <w:p w14:paraId="4C747799" w14:textId="336E6E38" w:rsidR="00287C08" w:rsidRDefault="00287C08"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Lee, J., Fernandez, F., Ro, H. K., &amp; Suh, H. (2022). Does dual enrollment influence high school graduation, college enrollment, choice, and persistence? </w:t>
      </w:r>
      <w:r w:rsidRPr="00BD6300">
        <w:rPr>
          <w:rFonts w:eastAsia="Times New Roman" w:cs="Times New Roman"/>
          <w:i/>
          <w:iCs/>
          <w:color w:val="000000" w:themeColor="text1"/>
          <w:spacing w:val="3"/>
          <w:szCs w:val="24"/>
        </w:rPr>
        <w:t>Research in Higher Education</w:t>
      </w:r>
      <w:r w:rsidR="00765285">
        <w:rPr>
          <w:rFonts w:eastAsia="Times New Roman" w:cs="Times New Roman"/>
          <w:color w:val="000000" w:themeColor="text1"/>
          <w:spacing w:val="3"/>
          <w:szCs w:val="24"/>
        </w:rPr>
        <w:t>,</w:t>
      </w:r>
      <w:r w:rsidRPr="00D43174">
        <w:rPr>
          <w:rFonts w:eastAsia="Times New Roman" w:cs="Times New Roman"/>
          <w:color w:val="000000" w:themeColor="text1"/>
          <w:spacing w:val="3"/>
          <w:szCs w:val="24"/>
        </w:rPr>
        <w:t xml:space="preserve"> </w:t>
      </w:r>
      <w:r w:rsidRPr="00D43174">
        <w:rPr>
          <w:rFonts w:eastAsia="Times New Roman" w:cs="Times New Roman"/>
          <w:i/>
          <w:iCs/>
          <w:color w:val="000000" w:themeColor="text1"/>
          <w:spacing w:val="3"/>
          <w:szCs w:val="24"/>
        </w:rPr>
        <w:t>63</w:t>
      </w:r>
      <w:r w:rsidR="00D43174">
        <w:rPr>
          <w:rFonts w:eastAsia="Times New Roman" w:cs="Times New Roman"/>
          <w:color w:val="000000" w:themeColor="text1"/>
          <w:spacing w:val="3"/>
          <w:szCs w:val="24"/>
        </w:rPr>
        <w:t>(5)</w:t>
      </w:r>
      <w:r>
        <w:rPr>
          <w:rFonts w:eastAsia="Times New Roman" w:cs="Times New Roman"/>
          <w:color w:val="000000" w:themeColor="text1"/>
          <w:spacing w:val="3"/>
          <w:szCs w:val="24"/>
        </w:rPr>
        <w:t>, 825-848.</w:t>
      </w:r>
      <w:r w:rsidR="00D43174">
        <w:rPr>
          <w:rFonts w:eastAsia="Times New Roman" w:cs="Times New Roman"/>
          <w:color w:val="000000" w:themeColor="text1"/>
          <w:spacing w:val="3"/>
          <w:szCs w:val="24"/>
        </w:rPr>
        <w:t xml:space="preserve"> </w:t>
      </w:r>
      <w:hyperlink r:id="rId75" w:history="1">
        <w:r w:rsidR="00D43174" w:rsidRPr="004841C6">
          <w:rPr>
            <w:rStyle w:val="Hyperlink"/>
            <w:rFonts w:eastAsia="Times New Roman" w:cs="Times New Roman"/>
            <w:spacing w:val="3"/>
            <w:szCs w:val="24"/>
          </w:rPr>
          <w:t>https://doi.org/10.1007/s11162-021-09667-3</w:t>
        </w:r>
      </w:hyperlink>
      <w:r w:rsidR="00D43174">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 xml:space="preserve"> </w:t>
      </w:r>
    </w:p>
    <w:p w14:paraId="31E68B28" w14:textId="69F8EA44" w:rsidR="00B00F1F" w:rsidRDefault="00B00F1F"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Lee, H. B., &amp; Villarreal, M. U. (2023). Should students falling behind in school take dual enrollment courses? </w:t>
      </w:r>
      <w:r w:rsidRPr="005D68DA">
        <w:rPr>
          <w:rFonts w:eastAsia="Times New Roman" w:cs="Times New Roman"/>
          <w:i/>
          <w:iCs/>
          <w:color w:val="000000" w:themeColor="text1"/>
          <w:spacing w:val="3"/>
          <w:szCs w:val="24"/>
        </w:rPr>
        <w:t>Journal of Education for Students Placed at Risk, 28</w:t>
      </w:r>
      <w:r>
        <w:rPr>
          <w:rFonts w:eastAsia="Times New Roman" w:cs="Times New Roman"/>
          <w:color w:val="000000" w:themeColor="text1"/>
          <w:spacing w:val="3"/>
          <w:szCs w:val="24"/>
        </w:rPr>
        <w:t xml:space="preserve">(4), 439-473. </w:t>
      </w:r>
      <w:hyperlink r:id="rId76" w:history="1">
        <w:r w:rsidRPr="002A51C8">
          <w:rPr>
            <w:rStyle w:val="Hyperlink"/>
            <w:rFonts w:eastAsia="Times New Roman" w:cs="Times New Roman"/>
            <w:spacing w:val="3"/>
            <w:szCs w:val="24"/>
          </w:rPr>
          <w:t>https://doi.org/10.10824669.2022.2100994</w:t>
        </w:r>
      </w:hyperlink>
      <w:r>
        <w:rPr>
          <w:rFonts w:eastAsia="Times New Roman" w:cs="Times New Roman"/>
          <w:color w:val="000000" w:themeColor="text1"/>
          <w:spacing w:val="3"/>
          <w:szCs w:val="24"/>
        </w:rPr>
        <w:t xml:space="preserve"> </w:t>
      </w:r>
    </w:p>
    <w:p w14:paraId="14B16BB9" w14:textId="643E07E4" w:rsidR="00EF3C49" w:rsidRDefault="00EF3C49" w:rsidP="00724F41">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t>Lile, J.</w:t>
      </w:r>
      <w:r w:rsidR="005D68DA">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R., Ottusch, T.</w:t>
      </w:r>
      <w:r w:rsidR="005D68DA">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M., Jones, T., &amp; Richards, L.</w:t>
      </w:r>
      <w:r w:rsidR="005D68DA">
        <w:rPr>
          <w:rFonts w:eastAsia="Times New Roman" w:cs="Times New Roman"/>
          <w:color w:val="000000" w:themeColor="text1"/>
          <w:spacing w:val="3"/>
          <w:szCs w:val="24"/>
        </w:rPr>
        <w:t xml:space="preserve"> </w:t>
      </w:r>
      <w:r>
        <w:rPr>
          <w:rFonts w:eastAsia="Times New Roman" w:cs="Times New Roman"/>
          <w:color w:val="000000" w:themeColor="text1"/>
          <w:spacing w:val="3"/>
          <w:szCs w:val="24"/>
        </w:rPr>
        <w:t xml:space="preserve">N. (2018). Understanding college-student roles: Perspectives of participants in a high school/community college dual-enrollment program. </w:t>
      </w:r>
      <w:r w:rsidRPr="00EF3C49">
        <w:rPr>
          <w:rFonts w:eastAsia="Times New Roman" w:cs="Times New Roman"/>
          <w:i/>
          <w:color w:val="000000" w:themeColor="text1"/>
          <w:spacing w:val="3"/>
          <w:szCs w:val="24"/>
        </w:rPr>
        <w:t>Community College Journal of Research and Practice</w:t>
      </w:r>
      <w:r w:rsidR="00765285">
        <w:rPr>
          <w:rFonts w:eastAsia="Times New Roman" w:cs="Times New Roman"/>
          <w:i/>
          <w:color w:val="000000" w:themeColor="text1"/>
          <w:spacing w:val="3"/>
          <w:szCs w:val="24"/>
        </w:rPr>
        <w:t>,</w:t>
      </w:r>
      <w:r w:rsidRPr="00EF3C49">
        <w:rPr>
          <w:rFonts w:eastAsia="Times New Roman" w:cs="Times New Roman"/>
          <w:i/>
          <w:color w:val="000000" w:themeColor="text1"/>
          <w:spacing w:val="3"/>
          <w:szCs w:val="24"/>
        </w:rPr>
        <w:t xml:space="preserve"> 42</w:t>
      </w:r>
      <w:r w:rsidRPr="00EF3C49">
        <w:rPr>
          <w:rFonts w:eastAsia="Times New Roman" w:cs="Times New Roman"/>
          <w:color w:val="000000" w:themeColor="text1"/>
          <w:spacing w:val="3"/>
          <w:szCs w:val="24"/>
        </w:rPr>
        <w:t>(2)</w:t>
      </w:r>
      <w:r>
        <w:rPr>
          <w:rFonts w:eastAsia="Times New Roman" w:cs="Times New Roman"/>
          <w:color w:val="000000" w:themeColor="text1"/>
          <w:spacing w:val="3"/>
          <w:szCs w:val="24"/>
        </w:rPr>
        <w:t xml:space="preserve">, 95-111. </w:t>
      </w:r>
      <w:hyperlink r:id="rId77" w:history="1">
        <w:r w:rsidR="0010417A" w:rsidRPr="004841C6">
          <w:rPr>
            <w:rStyle w:val="Hyperlink"/>
            <w:rFonts w:eastAsia="Times New Roman" w:cs="Times New Roman"/>
            <w:spacing w:val="3"/>
            <w:szCs w:val="24"/>
          </w:rPr>
          <w:t>https://doi.org/10.1080/10668926.2016.1264899</w:t>
        </w:r>
      </w:hyperlink>
      <w:r w:rsidR="0010417A">
        <w:rPr>
          <w:rFonts w:eastAsia="Times New Roman" w:cs="Times New Roman"/>
          <w:color w:val="000000" w:themeColor="text1"/>
          <w:spacing w:val="3"/>
          <w:szCs w:val="24"/>
        </w:rPr>
        <w:t xml:space="preserve"> </w:t>
      </w:r>
    </w:p>
    <w:p w14:paraId="2BC7AAE7" w14:textId="0D4F2957" w:rsidR="009279BC" w:rsidRDefault="009278A4" w:rsidP="009279BC">
      <w:pPr>
        <w:ind w:left="720" w:hanging="720"/>
        <w:rPr>
          <w:rFonts w:eastAsia="Times New Roman" w:cs="Times New Roman"/>
          <w:color w:val="000000" w:themeColor="text1"/>
          <w:spacing w:val="3"/>
          <w:szCs w:val="24"/>
        </w:rPr>
      </w:pPr>
      <w:r>
        <w:rPr>
          <w:rFonts w:eastAsia="Times New Roman" w:cs="Times New Roman"/>
          <w:color w:val="000000" w:themeColor="text1"/>
          <w:spacing w:val="3"/>
          <w:szCs w:val="24"/>
        </w:rPr>
        <w:lastRenderedPageBreak/>
        <w:t>Liu</w:t>
      </w:r>
      <w:r w:rsidR="00026251">
        <w:rPr>
          <w:rFonts w:eastAsia="Times New Roman" w:cs="Times New Roman"/>
          <w:color w:val="000000" w:themeColor="text1"/>
          <w:spacing w:val="3"/>
          <w:szCs w:val="24"/>
        </w:rPr>
        <w:t>,</w:t>
      </w:r>
      <w:r>
        <w:rPr>
          <w:rFonts w:eastAsia="Times New Roman" w:cs="Times New Roman"/>
          <w:color w:val="000000" w:themeColor="text1"/>
          <w:spacing w:val="3"/>
          <w:szCs w:val="24"/>
        </w:rPr>
        <w:t xml:space="preserve"> V.</w:t>
      </w:r>
      <w:r w:rsidR="00026251">
        <w:rPr>
          <w:rFonts w:eastAsia="Times New Roman" w:cs="Times New Roman"/>
          <w:color w:val="000000" w:themeColor="text1"/>
          <w:spacing w:val="3"/>
          <w:szCs w:val="24"/>
        </w:rPr>
        <w:t>Y.T.</w:t>
      </w:r>
      <w:r>
        <w:rPr>
          <w:rFonts w:eastAsia="Times New Roman" w:cs="Times New Roman"/>
          <w:color w:val="000000" w:themeColor="text1"/>
          <w:spacing w:val="3"/>
          <w:szCs w:val="24"/>
        </w:rPr>
        <w:t>, Minaya</w:t>
      </w:r>
      <w:r w:rsidR="00026251">
        <w:rPr>
          <w:rFonts w:eastAsia="Times New Roman" w:cs="Times New Roman"/>
          <w:color w:val="000000" w:themeColor="text1"/>
          <w:spacing w:val="3"/>
          <w:szCs w:val="24"/>
        </w:rPr>
        <w:t>,</w:t>
      </w:r>
      <w:r>
        <w:rPr>
          <w:rFonts w:eastAsia="Times New Roman" w:cs="Times New Roman"/>
          <w:color w:val="000000" w:themeColor="text1"/>
          <w:spacing w:val="3"/>
          <w:szCs w:val="24"/>
        </w:rPr>
        <w:t xml:space="preserve"> V., Zhang Q., Xu</w:t>
      </w:r>
      <w:r w:rsidR="00026251">
        <w:rPr>
          <w:rFonts w:eastAsia="Times New Roman" w:cs="Times New Roman"/>
          <w:color w:val="000000" w:themeColor="text1"/>
          <w:spacing w:val="3"/>
          <w:szCs w:val="24"/>
        </w:rPr>
        <w:t xml:space="preserve">, D. (2020). </w:t>
      </w:r>
      <w:r w:rsidR="00026251" w:rsidRPr="00E163C5">
        <w:rPr>
          <w:rFonts w:eastAsia="Times New Roman" w:cs="Times New Roman"/>
          <w:i/>
          <w:iCs/>
          <w:color w:val="000000" w:themeColor="text1"/>
          <w:spacing w:val="3"/>
          <w:szCs w:val="24"/>
        </w:rPr>
        <w:t xml:space="preserve">High school dual enrollment in </w:t>
      </w:r>
      <w:r w:rsidR="00CB6CDB" w:rsidRPr="00E163C5">
        <w:rPr>
          <w:rFonts w:eastAsia="Times New Roman" w:cs="Times New Roman"/>
          <w:i/>
          <w:iCs/>
          <w:color w:val="000000" w:themeColor="text1"/>
          <w:spacing w:val="3"/>
          <w:szCs w:val="24"/>
        </w:rPr>
        <w:t>F</w:t>
      </w:r>
      <w:r w:rsidR="00026251" w:rsidRPr="00E163C5">
        <w:rPr>
          <w:rFonts w:eastAsia="Times New Roman" w:cs="Times New Roman"/>
          <w:i/>
          <w:iCs/>
          <w:color w:val="000000" w:themeColor="text1"/>
          <w:spacing w:val="3"/>
          <w:szCs w:val="24"/>
        </w:rPr>
        <w:t>lorida: Effects on college outcomes by race/ethnicity and course modality.</w:t>
      </w:r>
      <w:r w:rsidR="00026251">
        <w:rPr>
          <w:rFonts w:eastAsia="Times New Roman" w:cs="Times New Roman"/>
          <w:color w:val="000000" w:themeColor="text1"/>
          <w:spacing w:val="3"/>
          <w:szCs w:val="24"/>
        </w:rPr>
        <w:t xml:space="preserve"> </w:t>
      </w:r>
      <w:r w:rsidR="00026251" w:rsidRPr="00E163C5">
        <w:rPr>
          <w:rFonts w:eastAsia="Times New Roman" w:cs="Times New Roman"/>
          <w:iCs/>
          <w:color w:val="000000" w:themeColor="text1"/>
          <w:spacing w:val="3"/>
          <w:szCs w:val="24"/>
        </w:rPr>
        <w:t xml:space="preserve">Community </w:t>
      </w:r>
      <w:r w:rsidR="009825AD" w:rsidRPr="00E163C5">
        <w:rPr>
          <w:rFonts w:eastAsia="Times New Roman" w:cs="Times New Roman"/>
          <w:iCs/>
          <w:color w:val="000000" w:themeColor="text1"/>
          <w:spacing w:val="3"/>
          <w:szCs w:val="24"/>
        </w:rPr>
        <w:t>C</w:t>
      </w:r>
      <w:r w:rsidR="00026251" w:rsidRPr="00E163C5">
        <w:rPr>
          <w:rFonts w:eastAsia="Times New Roman" w:cs="Times New Roman"/>
          <w:iCs/>
          <w:color w:val="000000" w:themeColor="text1"/>
          <w:spacing w:val="3"/>
          <w:szCs w:val="24"/>
        </w:rPr>
        <w:t xml:space="preserve">ollege </w:t>
      </w:r>
      <w:r w:rsidR="009825AD" w:rsidRPr="00E163C5">
        <w:rPr>
          <w:rFonts w:eastAsia="Times New Roman" w:cs="Times New Roman"/>
          <w:iCs/>
          <w:color w:val="000000" w:themeColor="text1"/>
          <w:spacing w:val="3"/>
          <w:szCs w:val="24"/>
        </w:rPr>
        <w:t>R</w:t>
      </w:r>
      <w:r w:rsidR="00026251" w:rsidRPr="00E163C5">
        <w:rPr>
          <w:rFonts w:eastAsia="Times New Roman" w:cs="Times New Roman"/>
          <w:iCs/>
          <w:color w:val="000000" w:themeColor="text1"/>
          <w:spacing w:val="3"/>
          <w:szCs w:val="24"/>
        </w:rPr>
        <w:t xml:space="preserve">esearch </w:t>
      </w:r>
      <w:r w:rsidR="009825AD" w:rsidRPr="00E163C5">
        <w:rPr>
          <w:rFonts w:eastAsia="Times New Roman" w:cs="Times New Roman"/>
          <w:iCs/>
          <w:color w:val="000000" w:themeColor="text1"/>
          <w:spacing w:val="3"/>
          <w:szCs w:val="24"/>
        </w:rPr>
        <w:t>C</w:t>
      </w:r>
      <w:r w:rsidR="00026251" w:rsidRPr="00E163C5">
        <w:rPr>
          <w:rFonts w:eastAsia="Times New Roman" w:cs="Times New Roman"/>
          <w:iCs/>
          <w:color w:val="000000" w:themeColor="text1"/>
          <w:spacing w:val="3"/>
          <w:szCs w:val="24"/>
        </w:rPr>
        <w:t>enter</w:t>
      </w:r>
      <w:r w:rsidR="00026251" w:rsidRPr="00026251">
        <w:rPr>
          <w:rFonts w:eastAsia="Times New Roman" w:cs="Times New Roman"/>
          <w:i/>
          <w:color w:val="000000" w:themeColor="text1"/>
          <w:spacing w:val="3"/>
          <w:szCs w:val="24"/>
        </w:rPr>
        <w:t>.</w:t>
      </w:r>
      <w:r w:rsidR="00026251">
        <w:rPr>
          <w:rFonts w:eastAsia="Times New Roman" w:cs="Times New Roman"/>
          <w:color w:val="000000" w:themeColor="text1"/>
          <w:spacing w:val="3"/>
          <w:szCs w:val="24"/>
        </w:rPr>
        <w:t xml:space="preserve"> </w:t>
      </w:r>
      <w:hyperlink r:id="rId78" w:history="1">
        <w:r w:rsidR="00CB6CDB" w:rsidRPr="004841C6">
          <w:rPr>
            <w:rStyle w:val="Hyperlink"/>
            <w:rFonts w:eastAsia="Times New Roman" w:cs="Times New Roman"/>
            <w:spacing w:val="3"/>
            <w:szCs w:val="24"/>
          </w:rPr>
          <w:t>https://files.eric.ed.gov/fulltext/ED617371.pdf</w:t>
        </w:r>
      </w:hyperlink>
      <w:r w:rsidR="00CB6CDB">
        <w:rPr>
          <w:rFonts w:eastAsia="Times New Roman" w:cs="Times New Roman"/>
          <w:color w:val="000000" w:themeColor="text1"/>
          <w:spacing w:val="3"/>
          <w:szCs w:val="24"/>
        </w:rPr>
        <w:t xml:space="preserve"> </w:t>
      </w:r>
    </w:p>
    <w:p w14:paraId="57CE1D10" w14:textId="4B5A7EE1" w:rsidR="00C27AF8" w:rsidRPr="00C27AF8" w:rsidRDefault="00C27AF8" w:rsidP="00C27AF8">
      <w:pPr>
        <w:ind w:left="720" w:hanging="720"/>
        <w:rPr>
          <w:rFonts w:eastAsia="Times New Roman" w:cs="Times New Roman"/>
          <w:szCs w:val="24"/>
        </w:rPr>
      </w:pPr>
      <w:r w:rsidRPr="00C27AF8">
        <w:rPr>
          <w:rFonts w:eastAsia="Times New Roman" w:cs="Times New Roman"/>
          <w:szCs w:val="24"/>
        </w:rPr>
        <w:t xml:space="preserve">Mann, S. (2023). Advancing dual enrollment equity through state policy. </w:t>
      </w:r>
      <w:r w:rsidRPr="00C27AF8">
        <w:rPr>
          <w:rFonts w:eastAsia="Times New Roman" w:cs="Times New Roman"/>
          <w:i/>
          <w:iCs/>
          <w:szCs w:val="24"/>
        </w:rPr>
        <w:t>Education Commission of the States.</w:t>
      </w:r>
      <w:r w:rsidRPr="00C27AF8">
        <w:rPr>
          <w:rFonts w:eastAsia="Times New Roman" w:cs="Times New Roman"/>
          <w:szCs w:val="24"/>
        </w:rPr>
        <w:t xml:space="preserve"> </w:t>
      </w:r>
      <w:hyperlink r:id="rId79" w:history="1">
        <w:r w:rsidRPr="00C27AF8">
          <w:rPr>
            <w:rStyle w:val="Hyperlink"/>
            <w:rFonts w:eastAsia="Times New Roman" w:cs="Times New Roman"/>
            <w:szCs w:val="24"/>
          </w:rPr>
          <w:t>https://www.ecs.org/wp-content/uploads/Advancing-Dual-Enrollment-Equity-Through-State-Policy.pdf</w:t>
        </w:r>
      </w:hyperlink>
    </w:p>
    <w:p w14:paraId="0E8958C2" w14:textId="4952A7BC" w:rsidR="004D4722" w:rsidRDefault="00FF34FE" w:rsidP="000A74B3">
      <w:pPr>
        <w:ind w:left="720" w:hanging="720"/>
        <w:rPr>
          <w:rFonts w:eastAsia="Times New Roman" w:cs="Times New Roman"/>
          <w:color w:val="000000" w:themeColor="text1"/>
          <w:spacing w:val="3"/>
          <w:szCs w:val="24"/>
        </w:rPr>
      </w:pPr>
      <w:r w:rsidRPr="00EC01C2">
        <w:rPr>
          <w:rFonts w:eastAsia="Times New Roman" w:cs="Times New Roman"/>
          <w:color w:val="000000" w:themeColor="text1"/>
          <w:spacing w:val="3"/>
          <w:szCs w:val="24"/>
        </w:rPr>
        <w:t xml:space="preserve">Marken, S., Gray, L., </w:t>
      </w:r>
      <w:r w:rsidR="00BA24CF">
        <w:rPr>
          <w:rFonts w:eastAsia="Times New Roman" w:cs="Times New Roman"/>
          <w:color w:val="000000" w:themeColor="text1"/>
          <w:spacing w:val="3"/>
          <w:szCs w:val="24"/>
        </w:rPr>
        <w:t xml:space="preserve">&amp; </w:t>
      </w:r>
      <w:r w:rsidRPr="00EC01C2">
        <w:rPr>
          <w:rFonts w:eastAsia="Times New Roman" w:cs="Times New Roman"/>
          <w:color w:val="000000" w:themeColor="text1"/>
          <w:spacing w:val="3"/>
          <w:szCs w:val="24"/>
        </w:rPr>
        <w:t xml:space="preserve">Lewis, L. (2013). </w:t>
      </w:r>
      <w:r w:rsidRPr="00EC01C2">
        <w:rPr>
          <w:rFonts w:eastAsia="Times New Roman" w:cs="Times New Roman"/>
          <w:i/>
          <w:iCs/>
          <w:color w:val="000000" w:themeColor="text1"/>
          <w:spacing w:val="3"/>
          <w:szCs w:val="24"/>
        </w:rPr>
        <w:t>Dual enrollment programs and courses for high school students at postsecondary institutions: 2010-2011.</w:t>
      </w:r>
      <w:r w:rsidRPr="00EC01C2">
        <w:rPr>
          <w:rFonts w:eastAsia="Times New Roman" w:cs="Times New Roman"/>
          <w:color w:val="000000" w:themeColor="text1"/>
          <w:spacing w:val="3"/>
          <w:szCs w:val="24"/>
        </w:rPr>
        <w:t xml:space="preserve"> U.S. Department of Education. </w:t>
      </w:r>
      <w:hyperlink r:id="rId80" w:history="1">
        <w:r w:rsidRPr="00EC01C2">
          <w:rPr>
            <w:rStyle w:val="Hyperlink"/>
            <w:rFonts w:eastAsia="Times New Roman" w:cs="Times New Roman"/>
            <w:spacing w:val="3"/>
            <w:szCs w:val="24"/>
          </w:rPr>
          <w:t>https://nces.ed.gov/pubs2013/2013002.pdf</w:t>
        </w:r>
      </w:hyperlink>
      <w:r>
        <w:rPr>
          <w:rFonts w:eastAsia="Times New Roman" w:cs="Times New Roman"/>
          <w:color w:val="000000" w:themeColor="text1"/>
          <w:spacing w:val="3"/>
          <w:szCs w:val="24"/>
        </w:rPr>
        <w:t xml:space="preserve"> </w:t>
      </w:r>
    </w:p>
    <w:p w14:paraId="12FF41DB" w14:textId="0B170E39" w:rsidR="009C5DC4" w:rsidRDefault="007A07FE" w:rsidP="00A866B8">
      <w:pPr>
        <w:rPr>
          <w:rFonts w:eastAsia="Times New Roman" w:cs="Times New Roman"/>
          <w:color w:val="000000" w:themeColor="text1"/>
          <w:spacing w:val="3"/>
          <w:szCs w:val="24"/>
        </w:rPr>
      </w:pPr>
      <w:r>
        <w:rPr>
          <w:rFonts w:eastAsia="Times New Roman" w:cs="Times New Roman"/>
          <w:color w:val="000000" w:themeColor="text1"/>
          <w:spacing w:val="3"/>
          <w:szCs w:val="24"/>
        </w:rPr>
        <w:t xml:space="preserve">Martinez, M. A., Valle. F., Cortez, L. J., Ponjuan, L. &amp; </w:t>
      </w:r>
      <w:r w:rsidRPr="007A07FE">
        <w:rPr>
          <w:rFonts w:eastAsia="Times New Roman" w:cs="Times New Roman"/>
          <w:color w:val="000000" w:themeColor="text1"/>
          <w:spacing w:val="3"/>
          <w:szCs w:val="24"/>
        </w:rPr>
        <w:t>S</w:t>
      </w:r>
      <w:r w:rsidRPr="007A07FE">
        <w:rPr>
          <w:rFonts w:cs="Times New Roman"/>
          <w:szCs w:val="24"/>
        </w:rPr>
        <w:t>á</w:t>
      </w:r>
      <w:r w:rsidRPr="007A07FE">
        <w:rPr>
          <w:rFonts w:eastAsia="Times New Roman" w:cs="Times New Roman"/>
          <w:color w:val="000000" w:themeColor="text1"/>
          <w:spacing w:val="3"/>
          <w:szCs w:val="24"/>
        </w:rPr>
        <w:t>enz</w:t>
      </w:r>
      <w:r>
        <w:rPr>
          <w:rFonts w:eastAsia="Times New Roman" w:cs="Times New Roman"/>
          <w:color w:val="000000" w:themeColor="text1"/>
          <w:spacing w:val="3"/>
          <w:szCs w:val="24"/>
        </w:rPr>
        <w:t>, V. B. (2018). Context is key:</w:t>
      </w:r>
    </w:p>
    <w:p w14:paraId="1DE2259A" w14:textId="15665CB5" w:rsidR="007A07FE" w:rsidRPr="007A07FE" w:rsidRDefault="007A07FE" w:rsidP="009C5DC4">
      <w:pPr>
        <w:ind w:left="720"/>
        <w:rPr>
          <w:rFonts w:eastAsia="Times New Roman" w:cs="Times New Roman"/>
          <w:color w:val="000000" w:themeColor="text1"/>
          <w:spacing w:val="3"/>
          <w:szCs w:val="24"/>
        </w:rPr>
      </w:pPr>
      <w:r>
        <w:rPr>
          <w:rFonts w:eastAsia="Times New Roman" w:cs="Times New Roman"/>
          <w:color w:val="000000" w:themeColor="text1"/>
          <w:spacing w:val="3"/>
          <w:szCs w:val="24"/>
        </w:rPr>
        <w:t xml:space="preserve">School leaders’ approaches in creating and maintaining dual enrollment opportunities in south Texas. </w:t>
      </w:r>
      <w:r>
        <w:rPr>
          <w:rFonts w:eastAsia="Times New Roman" w:cs="Times New Roman"/>
          <w:i/>
          <w:iCs/>
          <w:color w:val="000000" w:themeColor="text1"/>
          <w:spacing w:val="3"/>
          <w:szCs w:val="24"/>
        </w:rPr>
        <w:t>Leadership and Policy in Schools, (17)</w:t>
      </w:r>
      <w:r>
        <w:rPr>
          <w:rFonts w:eastAsia="Times New Roman" w:cs="Times New Roman"/>
          <w:color w:val="000000" w:themeColor="text1"/>
          <w:spacing w:val="3"/>
          <w:szCs w:val="24"/>
        </w:rPr>
        <w:t xml:space="preserve">4, 516-540. </w:t>
      </w:r>
      <w:hyperlink r:id="rId81" w:history="1">
        <w:r w:rsidRPr="008B11EC">
          <w:rPr>
            <w:rStyle w:val="Hyperlink"/>
            <w:rFonts w:eastAsia="Times New Roman" w:cs="Times New Roman"/>
            <w:spacing w:val="3"/>
            <w:szCs w:val="24"/>
          </w:rPr>
          <w:t>https://doi.org/10.1080/15700763.2017.1326149</w:t>
        </w:r>
      </w:hyperlink>
      <w:r>
        <w:rPr>
          <w:rFonts w:eastAsia="Times New Roman" w:cs="Times New Roman"/>
          <w:color w:val="000000" w:themeColor="text1"/>
          <w:spacing w:val="3"/>
          <w:szCs w:val="24"/>
        </w:rPr>
        <w:t xml:space="preserve"> </w:t>
      </w:r>
    </w:p>
    <w:p w14:paraId="089ECD05" w14:textId="5D1F8946" w:rsidR="00A866B8" w:rsidRPr="002F45E4" w:rsidRDefault="00A866B8" w:rsidP="00A866B8">
      <w:pPr>
        <w:rPr>
          <w:rFonts w:eastAsia="Times New Roman" w:cs="Times New Roman"/>
          <w:color w:val="000000" w:themeColor="text1"/>
          <w:spacing w:val="3"/>
          <w:szCs w:val="24"/>
        </w:rPr>
      </w:pPr>
      <w:r w:rsidRPr="00291504">
        <w:rPr>
          <w:rFonts w:eastAsia="Times New Roman" w:cs="Times New Roman"/>
          <w:color w:val="000000" w:themeColor="text1"/>
          <w:spacing w:val="3"/>
          <w:szCs w:val="24"/>
        </w:rPr>
        <w:t xml:space="preserve">McMillian, J., &amp; Schumacher, S. (2010). </w:t>
      </w:r>
      <w:r w:rsidRPr="00291504">
        <w:rPr>
          <w:rFonts w:eastAsia="Times New Roman" w:cs="Times New Roman"/>
          <w:i/>
          <w:color w:val="000000" w:themeColor="text1"/>
          <w:spacing w:val="3"/>
          <w:szCs w:val="24"/>
        </w:rPr>
        <w:t xml:space="preserve">Research in education: </w:t>
      </w:r>
      <w:r w:rsidR="00E167DD">
        <w:rPr>
          <w:rFonts w:eastAsia="Times New Roman" w:cs="Times New Roman"/>
          <w:i/>
          <w:color w:val="000000" w:themeColor="text1"/>
          <w:spacing w:val="3"/>
          <w:szCs w:val="24"/>
        </w:rPr>
        <w:t>E</w:t>
      </w:r>
      <w:r w:rsidRPr="00291504">
        <w:rPr>
          <w:rFonts w:eastAsia="Times New Roman" w:cs="Times New Roman"/>
          <w:i/>
          <w:color w:val="000000" w:themeColor="text1"/>
          <w:spacing w:val="3"/>
          <w:szCs w:val="24"/>
        </w:rPr>
        <w:t xml:space="preserve">vidence-based </w:t>
      </w:r>
      <w:r w:rsidRPr="00291504">
        <w:rPr>
          <w:rFonts w:eastAsia="Times New Roman" w:cs="Times New Roman"/>
          <w:i/>
          <w:color w:val="000000" w:themeColor="text1"/>
          <w:spacing w:val="3"/>
          <w:szCs w:val="24"/>
        </w:rPr>
        <w:br/>
        <w:t xml:space="preserve"> </w:t>
      </w:r>
      <w:r w:rsidRPr="00291504">
        <w:rPr>
          <w:rFonts w:eastAsia="Times New Roman" w:cs="Times New Roman"/>
          <w:i/>
          <w:color w:val="000000" w:themeColor="text1"/>
          <w:spacing w:val="3"/>
          <w:szCs w:val="24"/>
        </w:rPr>
        <w:tab/>
        <w:t>inquiry</w:t>
      </w:r>
      <w:r w:rsidRPr="00291504">
        <w:rPr>
          <w:rFonts w:eastAsia="Times New Roman" w:cs="Times New Roman"/>
          <w:color w:val="000000" w:themeColor="text1"/>
          <w:spacing w:val="3"/>
          <w:szCs w:val="24"/>
        </w:rPr>
        <w:t xml:space="preserve"> (7</w:t>
      </w:r>
      <w:r w:rsidRPr="00291504">
        <w:rPr>
          <w:rFonts w:eastAsia="Times New Roman" w:cs="Times New Roman"/>
          <w:color w:val="000000" w:themeColor="text1"/>
          <w:spacing w:val="3"/>
          <w:szCs w:val="24"/>
          <w:vertAlign w:val="superscript"/>
        </w:rPr>
        <w:t>th</w:t>
      </w:r>
      <w:r w:rsidRPr="00291504">
        <w:rPr>
          <w:rFonts w:eastAsia="Times New Roman" w:cs="Times New Roman"/>
          <w:color w:val="000000" w:themeColor="text1"/>
          <w:spacing w:val="3"/>
          <w:szCs w:val="24"/>
        </w:rPr>
        <w:t xml:space="preserve"> ed.). Pearson Education.</w:t>
      </w:r>
    </w:p>
    <w:p w14:paraId="64C6427A" w14:textId="1838C951" w:rsidR="007A2C70" w:rsidRPr="007A2C70" w:rsidRDefault="007A2C70" w:rsidP="007A2C70">
      <w:pPr>
        <w:ind w:left="720" w:hanging="720"/>
        <w:rPr>
          <w:rFonts w:eastAsia="Times New Roman" w:cs="Times New Roman"/>
          <w:szCs w:val="24"/>
        </w:rPr>
      </w:pPr>
      <w:r w:rsidRPr="00291504">
        <w:rPr>
          <w:rFonts w:eastAsia="Times New Roman" w:cs="Times New Roman"/>
          <w:szCs w:val="24"/>
        </w:rPr>
        <w:t>Meehan, K</w:t>
      </w:r>
      <w:r>
        <w:rPr>
          <w:rFonts w:eastAsia="Times New Roman" w:cs="Times New Roman"/>
          <w:szCs w:val="24"/>
        </w:rPr>
        <w:t>.,</w:t>
      </w:r>
      <w:r w:rsidRPr="00291504">
        <w:rPr>
          <w:rFonts w:eastAsia="Times New Roman" w:cs="Times New Roman"/>
          <w:szCs w:val="24"/>
        </w:rPr>
        <w:t xml:space="preserve"> &amp; Kent, D., (2020, February). </w:t>
      </w:r>
      <w:r w:rsidRPr="00EB3206">
        <w:rPr>
          <w:rFonts w:eastAsia="Times New Roman" w:cs="Times New Roman"/>
          <w:i/>
          <w:szCs w:val="24"/>
        </w:rPr>
        <w:t>Developing a statewide college completion agenda: Lessons learned from Tennessee.</w:t>
      </w:r>
      <w:r w:rsidR="00C56C05">
        <w:rPr>
          <w:rFonts w:eastAsia="Times New Roman" w:cs="Times New Roman"/>
          <w:iCs/>
          <w:szCs w:val="24"/>
        </w:rPr>
        <w:t xml:space="preserve"> Research for Action.</w:t>
      </w:r>
      <w:r w:rsidRPr="00291504">
        <w:rPr>
          <w:rFonts w:eastAsia="Times New Roman" w:cs="Times New Roman"/>
          <w:szCs w:val="24"/>
        </w:rPr>
        <w:t xml:space="preserve"> </w:t>
      </w:r>
      <w:hyperlink r:id="rId82" w:history="1">
        <w:r w:rsidRPr="00291504">
          <w:rPr>
            <w:rFonts w:eastAsia="Times New Roman" w:cs="Times New Roman"/>
            <w:color w:val="0563C1" w:themeColor="hyperlink"/>
            <w:szCs w:val="24"/>
            <w:u w:val="single"/>
          </w:rPr>
          <w:t>https://files.eric.ed.gov/fulltext/ED603803.pdf</w:t>
        </w:r>
      </w:hyperlink>
    </w:p>
    <w:p w14:paraId="3EDCA294" w14:textId="23DDCBC4" w:rsidR="00A04E43" w:rsidRDefault="00A04E43" w:rsidP="0068448F">
      <w:pPr>
        <w:ind w:left="720" w:hanging="720"/>
        <w:rPr>
          <w:rFonts w:cs="Times New Roman"/>
          <w:szCs w:val="24"/>
        </w:rPr>
      </w:pPr>
      <w:r>
        <w:rPr>
          <w:rFonts w:cs="Times New Roman"/>
          <w:szCs w:val="24"/>
        </w:rPr>
        <w:t xml:space="preserve">Melons, V. N., Channing, J., Ko, K., Lampley, J. </w:t>
      </w:r>
      <w:r w:rsidR="00AE5D1C">
        <w:rPr>
          <w:rFonts w:cs="Times New Roman"/>
          <w:szCs w:val="24"/>
        </w:rPr>
        <w:t xml:space="preserve">&amp; </w:t>
      </w:r>
      <w:r>
        <w:rPr>
          <w:rFonts w:cs="Times New Roman"/>
          <w:szCs w:val="24"/>
        </w:rPr>
        <w:t xml:space="preserve">Moreland, A. (2022). Relationships between dual enrollment parameters and community college success in Tennessee. </w:t>
      </w:r>
      <w:r w:rsidRPr="003A7541">
        <w:rPr>
          <w:rFonts w:cs="Times New Roman"/>
          <w:i/>
          <w:iCs/>
          <w:szCs w:val="24"/>
        </w:rPr>
        <w:t>Education Leadership Review of Doctoral Research, 10</w:t>
      </w:r>
      <w:r w:rsidRPr="003A7541">
        <w:rPr>
          <w:rFonts w:cs="Times New Roman"/>
          <w:szCs w:val="24"/>
        </w:rPr>
        <w:t xml:space="preserve">, 69-88. </w:t>
      </w:r>
      <w:hyperlink r:id="rId83" w:history="1">
        <w:r w:rsidR="006925A0" w:rsidRPr="004841C6">
          <w:rPr>
            <w:rStyle w:val="Hyperlink"/>
            <w:rFonts w:cs="Times New Roman"/>
            <w:szCs w:val="24"/>
          </w:rPr>
          <w:t>https://www.icpel.org/uploads/1/5/6/2/15622000/elrdr_fall_2022_volume_10.pdf</w:t>
        </w:r>
      </w:hyperlink>
      <w:r w:rsidR="006925A0">
        <w:rPr>
          <w:rFonts w:cs="Times New Roman"/>
          <w:szCs w:val="24"/>
        </w:rPr>
        <w:t xml:space="preserve"> </w:t>
      </w:r>
    </w:p>
    <w:p w14:paraId="045DCBC0" w14:textId="0C9E3EF7" w:rsidR="00A12ECE" w:rsidRDefault="00A12ECE" w:rsidP="0068448F">
      <w:pPr>
        <w:ind w:left="720" w:hanging="720"/>
        <w:rPr>
          <w:rFonts w:cs="Times New Roman"/>
          <w:szCs w:val="24"/>
        </w:rPr>
      </w:pPr>
      <w:r>
        <w:rPr>
          <w:rFonts w:cs="Times New Roman"/>
          <w:szCs w:val="24"/>
        </w:rPr>
        <w:t xml:space="preserve">Microsoft. (2026). </w:t>
      </w:r>
      <w:r w:rsidRPr="00A12ECE">
        <w:rPr>
          <w:rFonts w:cs="Times New Roman"/>
          <w:i/>
          <w:iCs/>
          <w:szCs w:val="24"/>
        </w:rPr>
        <w:t>Copilot.</w:t>
      </w:r>
      <w:r>
        <w:rPr>
          <w:rFonts w:cs="Times New Roman"/>
          <w:szCs w:val="24"/>
        </w:rPr>
        <w:t xml:space="preserve"> [Large Language Model]. </w:t>
      </w:r>
      <w:hyperlink r:id="rId84" w:history="1">
        <w:r w:rsidRPr="00FF222A">
          <w:rPr>
            <w:rStyle w:val="Hyperlink"/>
            <w:rFonts w:cs="Times New Roman"/>
            <w:szCs w:val="24"/>
          </w:rPr>
          <w:t>https://copilot.microsoft.com/</w:t>
        </w:r>
      </w:hyperlink>
      <w:r>
        <w:rPr>
          <w:rFonts w:cs="Times New Roman"/>
          <w:szCs w:val="24"/>
        </w:rPr>
        <w:t xml:space="preserve"> </w:t>
      </w:r>
    </w:p>
    <w:p w14:paraId="1C3E295D" w14:textId="2D21CA62" w:rsidR="00A630B6" w:rsidRPr="00D848B9" w:rsidRDefault="00D43BEE" w:rsidP="0068448F">
      <w:pPr>
        <w:ind w:left="720" w:hanging="720"/>
        <w:rPr>
          <w:rFonts w:cs="Times New Roman"/>
          <w:szCs w:val="24"/>
        </w:rPr>
      </w:pPr>
      <w:r>
        <w:rPr>
          <w:rFonts w:cs="Times New Roman"/>
          <w:szCs w:val="24"/>
        </w:rPr>
        <w:lastRenderedPageBreak/>
        <w:t>Moreno, M., McKinney, L., Burridge, A., Rangel,</w:t>
      </w:r>
      <w:r w:rsidR="005D68DA">
        <w:rPr>
          <w:rFonts w:cs="Times New Roman"/>
          <w:szCs w:val="24"/>
        </w:rPr>
        <w:t xml:space="preserve"> &amp;</w:t>
      </w:r>
      <w:r>
        <w:rPr>
          <w:rFonts w:cs="Times New Roman"/>
          <w:szCs w:val="24"/>
        </w:rPr>
        <w:t xml:space="preserve"> V.</w:t>
      </w:r>
      <w:r w:rsidR="005D68DA">
        <w:rPr>
          <w:rFonts w:cs="Times New Roman"/>
          <w:szCs w:val="24"/>
        </w:rPr>
        <w:t xml:space="preserve"> </w:t>
      </w:r>
      <w:r>
        <w:rPr>
          <w:rFonts w:cs="Times New Roman"/>
          <w:szCs w:val="24"/>
        </w:rPr>
        <w:t xml:space="preserve">S., </w:t>
      </w:r>
      <w:r w:rsidR="00383B9B">
        <w:rPr>
          <w:rFonts w:cs="Times New Roman"/>
          <w:szCs w:val="24"/>
        </w:rPr>
        <w:t xml:space="preserve">&amp; </w:t>
      </w:r>
      <w:r>
        <w:rPr>
          <w:rFonts w:cs="Times New Roman"/>
          <w:szCs w:val="24"/>
        </w:rPr>
        <w:t>Carales, V.</w:t>
      </w:r>
      <w:r w:rsidR="005D68DA">
        <w:rPr>
          <w:rFonts w:cs="Times New Roman"/>
          <w:szCs w:val="24"/>
        </w:rPr>
        <w:t xml:space="preserve"> </w:t>
      </w:r>
      <w:r>
        <w:rPr>
          <w:rFonts w:cs="Times New Roman"/>
          <w:szCs w:val="24"/>
        </w:rPr>
        <w:t xml:space="preserve">D. (2021). </w:t>
      </w:r>
      <w:r w:rsidR="009825AD">
        <w:rPr>
          <w:rFonts w:cs="Times New Roman"/>
          <w:szCs w:val="24"/>
        </w:rPr>
        <w:t xml:space="preserve">Access for Whom? The impact of dual enrollment on college matriculation among underserved student populations on Texas. </w:t>
      </w:r>
      <w:r w:rsidR="009825AD" w:rsidRPr="009825AD">
        <w:rPr>
          <w:rFonts w:cs="Times New Roman"/>
          <w:i/>
          <w:szCs w:val="24"/>
        </w:rPr>
        <w:t>Community College Journal of Research a</w:t>
      </w:r>
      <w:r w:rsidR="009825AD" w:rsidRPr="001E428D">
        <w:rPr>
          <w:rFonts w:cs="Times New Roman"/>
          <w:i/>
          <w:szCs w:val="24"/>
        </w:rPr>
        <w:t>nd Practice</w:t>
      </w:r>
      <w:r w:rsidR="00D848B9" w:rsidRPr="001E428D">
        <w:rPr>
          <w:rFonts w:cs="Times New Roman"/>
          <w:i/>
          <w:szCs w:val="24"/>
        </w:rPr>
        <w:t>, 45</w:t>
      </w:r>
      <w:r w:rsidR="00D848B9">
        <w:rPr>
          <w:rFonts w:cs="Times New Roman"/>
          <w:szCs w:val="24"/>
        </w:rPr>
        <w:t xml:space="preserve">(4), 255-272. </w:t>
      </w:r>
      <w:hyperlink r:id="rId85" w:history="1">
        <w:r w:rsidR="00D848B9" w:rsidRPr="008A0E4B">
          <w:rPr>
            <w:rStyle w:val="Hyperlink"/>
            <w:rFonts w:cs="Times New Roman"/>
            <w:szCs w:val="24"/>
          </w:rPr>
          <w:t>https://doi.org/10.1080/10668926.2019.1688734</w:t>
        </w:r>
      </w:hyperlink>
      <w:r w:rsidR="00D848B9">
        <w:rPr>
          <w:rFonts w:cs="Times New Roman"/>
          <w:szCs w:val="24"/>
        </w:rPr>
        <w:t xml:space="preserve"> </w:t>
      </w:r>
    </w:p>
    <w:p w14:paraId="5D8EDE22" w14:textId="75FA271F" w:rsidR="00FE610C" w:rsidRDefault="00FE610C" w:rsidP="006A6A40">
      <w:pPr>
        <w:ind w:left="720" w:hanging="720"/>
        <w:rPr>
          <w:rFonts w:cs="Times New Roman"/>
          <w:color w:val="000000" w:themeColor="text1"/>
          <w:szCs w:val="24"/>
        </w:rPr>
      </w:pPr>
      <w:r>
        <w:rPr>
          <w:rFonts w:cs="Times New Roman"/>
          <w:color w:val="000000" w:themeColor="text1"/>
          <w:szCs w:val="24"/>
        </w:rPr>
        <w:t>Mowreader, A. (2023, July 20</w:t>
      </w:r>
      <w:r w:rsidRPr="005802AB">
        <w:rPr>
          <w:rFonts w:cs="Times New Roman"/>
          <w:i/>
          <w:iCs/>
          <w:color w:val="000000" w:themeColor="text1"/>
          <w:szCs w:val="24"/>
        </w:rPr>
        <w:t>). Lack of awareness causes students to fall through the cracks.</w:t>
      </w:r>
      <w:r>
        <w:rPr>
          <w:rFonts w:cs="Times New Roman"/>
          <w:color w:val="000000" w:themeColor="text1"/>
          <w:szCs w:val="24"/>
        </w:rPr>
        <w:t xml:space="preserve"> Insider Higher Ed. </w:t>
      </w:r>
      <w:r w:rsidR="00AC4004">
        <w:rPr>
          <w:rFonts w:cs="Times New Roman"/>
          <w:color w:val="000000" w:themeColor="text1"/>
          <w:szCs w:val="24"/>
        </w:rPr>
        <w:t xml:space="preserve">Retrieved </w:t>
      </w:r>
      <w:r w:rsidR="007B57B3">
        <w:rPr>
          <w:rFonts w:cs="Times New Roman"/>
          <w:color w:val="000000" w:themeColor="text1"/>
          <w:szCs w:val="24"/>
        </w:rPr>
        <w:t>August 4</w:t>
      </w:r>
      <w:r w:rsidR="00AC4004">
        <w:rPr>
          <w:rFonts w:cs="Times New Roman"/>
          <w:color w:val="000000" w:themeColor="text1"/>
          <w:szCs w:val="24"/>
        </w:rPr>
        <w:t xml:space="preserve">, 2025, from </w:t>
      </w:r>
      <w:hyperlink r:id="rId86" w:anchor=":~:text=According%20to%20a%20report%20by%20Tyton%20Partners%2C,awareness%20*%20**Student%20success%20coaches**%2029%25%20awareness" w:history="1">
        <w:r w:rsidR="007B57B3" w:rsidRPr="00026F15">
          <w:rPr>
            <w:rStyle w:val="Hyperlink"/>
            <w:rFonts w:cs="Times New Roman"/>
            <w:szCs w:val="24"/>
          </w:rPr>
          <w:t>https://www.insidehighered.com/news/student-success/college-experience/2023/07/20/survey-college-students-dont-know-about-support#:~:text=According%20to%20a%20report%20by%20Tyton%20Partners%2C,awareness%20*%20**Student%20success%20coaches**%2029%25%20awareness</w:t>
        </w:r>
      </w:hyperlink>
      <w:r>
        <w:rPr>
          <w:rFonts w:cs="Times New Roman"/>
          <w:color w:val="000000" w:themeColor="text1"/>
          <w:szCs w:val="24"/>
        </w:rPr>
        <w:t xml:space="preserve"> </w:t>
      </w:r>
    </w:p>
    <w:p w14:paraId="75C7B8A0" w14:textId="24FEC9C2" w:rsidR="00C55BAB" w:rsidRDefault="00C55BAB" w:rsidP="006A6A40">
      <w:pPr>
        <w:ind w:left="720" w:hanging="720"/>
        <w:rPr>
          <w:rFonts w:cs="Times New Roman"/>
          <w:color w:val="000000" w:themeColor="text1"/>
          <w:szCs w:val="24"/>
        </w:rPr>
      </w:pPr>
      <w:r>
        <w:rPr>
          <w:rFonts w:cs="Times New Roman"/>
          <w:color w:val="000000" w:themeColor="text1"/>
          <w:szCs w:val="24"/>
        </w:rPr>
        <w:t>National Archives (n.d.</w:t>
      </w:r>
      <w:r w:rsidR="00E90B25">
        <w:rPr>
          <w:rFonts w:cs="Times New Roman"/>
          <w:color w:val="000000" w:themeColor="text1"/>
          <w:szCs w:val="24"/>
        </w:rPr>
        <w:t xml:space="preserve">-a). </w:t>
      </w:r>
      <w:r w:rsidR="00E90B25" w:rsidRPr="00E90B25">
        <w:rPr>
          <w:rFonts w:cs="Times New Roman"/>
          <w:i/>
          <w:iCs/>
          <w:color w:val="000000" w:themeColor="text1"/>
          <w:szCs w:val="24"/>
        </w:rPr>
        <w:t>Building American skills through community colleges.</w:t>
      </w:r>
      <w:r w:rsidR="00E90B25">
        <w:rPr>
          <w:rFonts w:cs="Times New Roman"/>
          <w:color w:val="000000" w:themeColor="text1"/>
          <w:szCs w:val="24"/>
        </w:rPr>
        <w:t xml:space="preserve"> </w:t>
      </w:r>
      <w:hyperlink r:id="rId87" w:history="1">
        <w:r w:rsidR="00E90B25" w:rsidRPr="004841C6">
          <w:rPr>
            <w:rStyle w:val="Hyperlink"/>
            <w:rFonts w:cs="Times New Roman"/>
            <w:szCs w:val="24"/>
          </w:rPr>
          <w:t>https://obamawhitehouse.archives.gov/sites/default/files/100326-community-college-fact-sheet.pdf</w:t>
        </w:r>
      </w:hyperlink>
      <w:r w:rsidR="00E90B25">
        <w:rPr>
          <w:rFonts w:cs="Times New Roman"/>
          <w:color w:val="000000" w:themeColor="text1"/>
          <w:szCs w:val="24"/>
        </w:rPr>
        <w:t xml:space="preserve"> </w:t>
      </w:r>
    </w:p>
    <w:p w14:paraId="7BDA141D" w14:textId="777CCCC5" w:rsidR="009B6D0A" w:rsidRDefault="00E90B25" w:rsidP="00DB797F">
      <w:pPr>
        <w:ind w:left="720" w:hanging="720"/>
        <w:rPr>
          <w:rFonts w:cs="Times New Roman"/>
          <w:color w:val="000000" w:themeColor="text1"/>
          <w:szCs w:val="24"/>
        </w:rPr>
      </w:pPr>
      <w:r>
        <w:rPr>
          <w:rFonts w:cs="Times New Roman"/>
          <w:color w:val="000000" w:themeColor="text1"/>
          <w:szCs w:val="24"/>
        </w:rPr>
        <w:t xml:space="preserve">National Archives (n.d.-b). </w:t>
      </w:r>
      <w:r w:rsidRPr="00E90B25">
        <w:rPr>
          <w:rFonts w:cs="Times New Roman"/>
          <w:i/>
          <w:iCs/>
          <w:color w:val="000000" w:themeColor="text1"/>
          <w:szCs w:val="24"/>
        </w:rPr>
        <w:t>Obama Administration Record on Education.</w:t>
      </w:r>
      <w:r>
        <w:rPr>
          <w:rFonts w:cs="Times New Roman"/>
          <w:color w:val="000000" w:themeColor="text1"/>
          <w:szCs w:val="24"/>
        </w:rPr>
        <w:t xml:space="preserve"> </w:t>
      </w:r>
      <w:hyperlink r:id="rId88" w:history="1">
        <w:r w:rsidRPr="004841C6">
          <w:rPr>
            <w:rStyle w:val="Hyperlink"/>
            <w:rFonts w:cs="Times New Roman"/>
            <w:szCs w:val="24"/>
          </w:rPr>
          <w:t>https://obamawhitehouse.archives.gov/sites/default/files/docs/education_record.pdf</w:t>
        </w:r>
      </w:hyperlink>
      <w:r>
        <w:rPr>
          <w:rFonts w:cs="Times New Roman"/>
          <w:color w:val="000000" w:themeColor="text1"/>
          <w:szCs w:val="24"/>
        </w:rPr>
        <w:t xml:space="preserve"> </w:t>
      </w:r>
    </w:p>
    <w:p w14:paraId="706D292A" w14:textId="70BDC882" w:rsidR="00D514D1" w:rsidRDefault="00D514D1" w:rsidP="006A6A40">
      <w:pPr>
        <w:ind w:left="720" w:hanging="720"/>
        <w:rPr>
          <w:rFonts w:cs="Times New Roman"/>
          <w:color w:val="000000" w:themeColor="text1"/>
          <w:szCs w:val="24"/>
        </w:rPr>
      </w:pPr>
      <w:r>
        <w:rPr>
          <w:rFonts w:cs="Times New Roman"/>
          <w:color w:val="000000" w:themeColor="text1"/>
          <w:szCs w:val="24"/>
        </w:rPr>
        <w:t xml:space="preserve">National Student Clearinghouse Research Center. (2025, June 26). </w:t>
      </w:r>
      <w:r w:rsidRPr="00D514D1">
        <w:rPr>
          <w:rFonts w:cs="Times New Roman"/>
          <w:i/>
          <w:iCs/>
          <w:color w:val="000000" w:themeColor="text1"/>
          <w:szCs w:val="24"/>
        </w:rPr>
        <w:t xml:space="preserve">Persistence and retention. Fall 2023 beginning postsecondary student cohort. </w:t>
      </w:r>
      <w:r>
        <w:rPr>
          <w:rFonts w:cs="Times New Roman"/>
          <w:color w:val="000000" w:themeColor="text1"/>
          <w:szCs w:val="24"/>
        </w:rPr>
        <w:t xml:space="preserve">Retrieved May 3, 2026, </w:t>
      </w:r>
      <w:r w:rsidR="00AD5044">
        <w:rPr>
          <w:rFonts w:cs="Times New Roman"/>
          <w:color w:val="000000" w:themeColor="text1"/>
          <w:szCs w:val="24"/>
        </w:rPr>
        <w:t xml:space="preserve">from </w:t>
      </w:r>
      <w:hyperlink r:id="rId89" w:history="1">
        <w:r w:rsidR="00B06189" w:rsidRPr="002405E2">
          <w:rPr>
            <w:rStyle w:val="Hyperlink"/>
            <w:rFonts w:cs="Times New Roman"/>
            <w:szCs w:val="24"/>
          </w:rPr>
          <w:t>https://nscresearchcenter.org/persistence-retention/</w:t>
        </w:r>
      </w:hyperlink>
      <w:r>
        <w:rPr>
          <w:rFonts w:cs="Times New Roman"/>
          <w:color w:val="000000" w:themeColor="text1"/>
          <w:szCs w:val="24"/>
        </w:rPr>
        <w:t xml:space="preserve"> </w:t>
      </w:r>
    </w:p>
    <w:p w14:paraId="3B76316E" w14:textId="165906F9" w:rsidR="00E91344" w:rsidRDefault="00E91344" w:rsidP="006A6A40">
      <w:pPr>
        <w:ind w:left="720" w:hanging="720"/>
        <w:rPr>
          <w:rFonts w:cs="Times New Roman"/>
          <w:color w:val="000000" w:themeColor="text1"/>
          <w:szCs w:val="24"/>
        </w:rPr>
      </w:pPr>
      <w:r>
        <w:rPr>
          <w:rFonts w:cs="Times New Roman"/>
          <w:color w:val="000000" w:themeColor="text1"/>
          <w:szCs w:val="24"/>
        </w:rPr>
        <w:t xml:space="preserve">Oliobi, I., Ruddell, D., &amp; Doglio, C. (2024). </w:t>
      </w:r>
      <w:r w:rsidRPr="00E91344">
        <w:rPr>
          <w:rFonts w:cs="Times New Roman"/>
          <w:i/>
          <w:iCs/>
          <w:color w:val="000000" w:themeColor="text1"/>
          <w:szCs w:val="24"/>
        </w:rPr>
        <w:t>Tailored support for first-year, first-generation college students: Findings f</w:t>
      </w:r>
      <w:r w:rsidR="00D72FD1">
        <w:rPr>
          <w:rFonts w:cs="Times New Roman"/>
          <w:i/>
          <w:iCs/>
          <w:color w:val="000000" w:themeColor="text1"/>
          <w:szCs w:val="24"/>
        </w:rPr>
        <w:t>ro</w:t>
      </w:r>
      <w:r w:rsidRPr="00E91344">
        <w:rPr>
          <w:rFonts w:cs="Times New Roman"/>
          <w:i/>
          <w:iCs/>
          <w:color w:val="000000" w:themeColor="text1"/>
          <w:szCs w:val="24"/>
        </w:rPr>
        <w:t xml:space="preserve">m an evaluation of the Kessler </w:t>
      </w:r>
      <w:proofErr w:type="gramStart"/>
      <w:r w:rsidRPr="00E91344">
        <w:rPr>
          <w:rFonts w:cs="Times New Roman"/>
          <w:i/>
          <w:iCs/>
          <w:color w:val="000000" w:themeColor="text1"/>
          <w:szCs w:val="24"/>
        </w:rPr>
        <w:t>scholars</w:t>
      </w:r>
      <w:proofErr w:type="gramEnd"/>
      <w:r w:rsidRPr="00E91344">
        <w:rPr>
          <w:rFonts w:cs="Times New Roman"/>
          <w:i/>
          <w:iCs/>
          <w:color w:val="000000" w:themeColor="text1"/>
          <w:szCs w:val="24"/>
        </w:rPr>
        <w:t xml:space="preserve"> program.</w:t>
      </w:r>
      <w:r>
        <w:rPr>
          <w:rFonts w:cs="Times New Roman"/>
          <w:color w:val="000000" w:themeColor="text1"/>
          <w:szCs w:val="24"/>
        </w:rPr>
        <w:t xml:space="preserve"> </w:t>
      </w:r>
      <w:r w:rsidR="000B6A7E">
        <w:rPr>
          <w:rFonts w:cs="Times New Roman"/>
          <w:color w:val="000000" w:themeColor="text1"/>
          <w:szCs w:val="24"/>
        </w:rPr>
        <w:t xml:space="preserve">Ithaka S+R. </w:t>
      </w:r>
      <w:hyperlink r:id="rId90" w:history="1">
        <w:r w:rsidR="000B6A7E" w:rsidRPr="00AB051E">
          <w:rPr>
            <w:rStyle w:val="Hyperlink"/>
            <w:rFonts w:cs="Times New Roman"/>
            <w:szCs w:val="24"/>
          </w:rPr>
          <w:t>https://sr.ithaka.org/wp-content/uploads/2024/12/SR-Report-Tailored-Support-for-First-Year-First-Generation-College-Students-121924-2.pdf</w:t>
        </w:r>
      </w:hyperlink>
      <w:r>
        <w:rPr>
          <w:rFonts w:cs="Times New Roman"/>
          <w:color w:val="000000" w:themeColor="text1"/>
          <w:szCs w:val="24"/>
        </w:rPr>
        <w:t xml:space="preserve"> </w:t>
      </w:r>
    </w:p>
    <w:p w14:paraId="0EEB344F" w14:textId="49EBF969" w:rsidR="000C0604" w:rsidRPr="000C0604" w:rsidRDefault="006A6A40" w:rsidP="000C0604">
      <w:pPr>
        <w:ind w:left="720" w:hanging="720"/>
        <w:rPr>
          <w:rFonts w:cs="Times New Roman"/>
          <w:color w:val="000000" w:themeColor="text1"/>
          <w:szCs w:val="24"/>
        </w:rPr>
      </w:pPr>
      <w:r w:rsidRPr="00291504">
        <w:rPr>
          <w:rFonts w:cs="Times New Roman"/>
          <w:color w:val="000000" w:themeColor="text1"/>
          <w:szCs w:val="24"/>
        </w:rPr>
        <w:lastRenderedPageBreak/>
        <w:t xml:space="preserve">Podesta, K., Johnson, A., &amp; Wilson, J. (2020, November). </w:t>
      </w:r>
      <w:r w:rsidRPr="00291504">
        <w:rPr>
          <w:rFonts w:cs="Times New Roman"/>
          <w:i/>
          <w:color w:val="000000" w:themeColor="text1"/>
          <w:szCs w:val="24"/>
        </w:rPr>
        <w:t>An explanation of the outcomes-based funding formula (2015-2020).</w:t>
      </w:r>
      <w:r w:rsidR="00537826">
        <w:rPr>
          <w:rFonts w:cs="Times New Roman"/>
          <w:iCs/>
          <w:color w:val="000000" w:themeColor="text1"/>
          <w:szCs w:val="24"/>
        </w:rPr>
        <w:t xml:space="preserve"> </w:t>
      </w:r>
      <w:r w:rsidR="002953A7">
        <w:rPr>
          <w:rFonts w:cs="Times New Roman"/>
          <w:iCs/>
          <w:color w:val="000000" w:themeColor="text1"/>
          <w:szCs w:val="24"/>
        </w:rPr>
        <w:t>Tennessee Comptroller of the Treasur</w:t>
      </w:r>
      <w:r w:rsidR="00097E3F">
        <w:rPr>
          <w:rFonts w:cs="Times New Roman"/>
          <w:iCs/>
          <w:color w:val="000000" w:themeColor="text1"/>
          <w:szCs w:val="24"/>
        </w:rPr>
        <w:t>y</w:t>
      </w:r>
      <w:r w:rsidR="002953A7">
        <w:rPr>
          <w:rFonts w:cs="Times New Roman"/>
          <w:iCs/>
          <w:color w:val="000000" w:themeColor="text1"/>
          <w:szCs w:val="24"/>
        </w:rPr>
        <w:t>.</w:t>
      </w:r>
      <w:r w:rsidRPr="00291504">
        <w:rPr>
          <w:rFonts w:cs="Times New Roman"/>
          <w:color w:val="000000" w:themeColor="text1"/>
          <w:szCs w:val="24"/>
        </w:rPr>
        <w:t xml:space="preserve"> </w:t>
      </w:r>
      <w:hyperlink r:id="rId91" w:history="1">
        <w:r w:rsidRPr="00291504">
          <w:rPr>
            <w:rFonts w:cs="Times New Roman"/>
            <w:color w:val="0563C1" w:themeColor="hyperlink"/>
            <w:szCs w:val="24"/>
            <w:u w:val="single"/>
          </w:rPr>
          <w:t>https://comptroller.tn.gov/content/dam/cot/orea/advanced-search/2020/OBFprimer.pdf</w:t>
        </w:r>
      </w:hyperlink>
    </w:p>
    <w:p w14:paraId="43B46145" w14:textId="137C7F72" w:rsidR="0025017B" w:rsidRDefault="0025017B" w:rsidP="0068448F">
      <w:pPr>
        <w:ind w:left="720" w:hanging="720"/>
        <w:rPr>
          <w:rFonts w:cs="Times New Roman"/>
          <w:szCs w:val="24"/>
        </w:rPr>
      </w:pPr>
      <w:r>
        <w:rPr>
          <w:rFonts w:cs="Times New Roman"/>
          <w:szCs w:val="24"/>
        </w:rPr>
        <w:t xml:space="preserve">Pretlow, J., Henderson, M., </w:t>
      </w:r>
      <w:r w:rsidR="00612F8D">
        <w:rPr>
          <w:rFonts w:cs="Times New Roman"/>
          <w:szCs w:val="24"/>
        </w:rPr>
        <w:t xml:space="preserve">&amp; </w:t>
      </w:r>
      <w:r>
        <w:rPr>
          <w:rFonts w:cs="Times New Roman"/>
          <w:szCs w:val="24"/>
        </w:rPr>
        <w:t xml:space="preserve">Caves, L. (2022). Dual enrollment: An institutional view. </w:t>
      </w:r>
      <w:r w:rsidRPr="00047617">
        <w:rPr>
          <w:rFonts w:cs="Times New Roman"/>
          <w:i/>
          <w:iCs/>
          <w:szCs w:val="24"/>
        </w:rPr>
        <w:t>Community College Journal of Research and Practice, (46)</w:t>
      </w:r>
      <w:r>
        <w:rPr>
          <w:rFonts w:cs="Times New Roman"/>
          <w:szCs w:val="24"/>
        </w:rPr>
        <w:t xml:space="preserve">10, 763-767. </w:t>
      </w:r>
      <w:hyperlink r:id="rId92" w:history="1">
        <w:r w:rsidRPr="008B11EC">
          <w:rPr>
            <w:rStyle w:val="Hyperlink"/>
            <w:rFonts w:cs="Times New Roman"/>
            <w:szCs w:val="24"/>
          </w:rPr>
          <w:t>https://doi.org/10.1080/10668926.2021.1991858</w:t>
        </w:r>
      </w:hyperlink>
      <w:r>
        <w:rPr>
          <w:rFonts w:cs="Times New Roman"/>
          <w:szCs w:val="24"/>
        </w:rPr>
        <w:t xml:space="preserve"> </w:t>
      </w:r>
    </w:p>
    <w:p w14:paraId="1B954E5D" w14:textId="62C892CB" w:rsidR="000C0604" w:rsidRDefault="000C0604" w:rsidP="0068448F">
      <w:pPr>
        <w:ind w:left="720" w:hanging="720"/>
        <w:rPr>
          <w:rFonts w:cs="Times New Roman"/>
          <w:szCs w:val="24"/>
        </w:rPr>
      </w:pPr>
      <w:r>
        <w:rPr>
          <w:rFonts w:cs="Times New Roman"/>
          <w:szCs w:val="24"/>
        </w:rPr>
        <w:t xml:space="preserve">Pretlow, J., &amp; Patteson, J. (2015). Operating dual enrollment in different policy environments: An examination of two states. </w:t>
      </w:r>
      <w:r w:rsidRPr="000C0604">
        <w:rPr>
          <w:rFonts w:cs="Times New Roman"/>
          <w:i/>
          <w:iCs/>
          <w:szCs w:val="24"/>
        </w:rPr>
        <w:t xml:space="preserve">New Directions in Community Colleges, </w:t>
      </w:r>
      <w:r>
        <w:rPr>
          <w:rFonts w:cs="Times New Roman"/>
          <w:i/>
          <w:iCs/>
          <w:szCs w:val="24"/>
        </w:rPr>
        <w:t>169</w:t>
      </w:r>
      <w:r>
        <w:rPr>
          <w:rFonts w:cs="Times New Roman"/>
          <w:szCs w:val="24"/>
        </w:rPr>
        <w:t xml:space="preserve">, 21-29. </w:t>
      </w:r>
      <w:hyperlink r:id="rId93" w:history="1">
        <w:r w:rsidRPr="004841C6">
          <w:rPr>
            <w:rStyle w:val="Hyperlink"/>
            <w:rFonts w:cs="Times New Roman"/>
            <w:szCs w:val="24"/>
          </w:rPr>
          <w:t>https://doi.org/10.1002/cc.20129</w:t>
        </w:r>
      </w:hyperlink>
      <w:r>
        <w:rPr>
          <w:rFonts w:cs="Times New Roman"/>
          <w:szCs w:val="24"/>
        </w:rPr>
        <w:t xml:space="preserve"> </w:t>
      </w:r>
    </w:p>
    <w:p w14:paraId="7C9EFF90" w14:textId="7318DAF8" w:rsidR="009C662B" w:rsidRDefault="009C662B" w:rsidP="0068448F">
      <w:pPr>
        <w:ind w:left="720" w:hanging="720"/>
        <w:rPr>
          <w:rFonts w:cs="Times New Roman"/>
          <w:szCs w:val="24"/>
        </w:rPr>
      </w:pPr>
      <w:r>
        <w:rPr>
          <w:rFonts w:cs="Times New Roman"/>
          <w:szCs w:val="24"/>
        </w:rPr>
        <w:t xml:space="preserve">Ryu, W., Schudde, L., </w:t>
      </w:r>
      <w:r w:rsidR="004348A5">
        <w:rPr>
          <w:rFonts w:cs="Times New Roman"/>
          <w:szCs w:val="24"/>
        </w:rPr>
        <w:t xml:space="preserve">&amp; </w:t>
      </w:r>
      <w:r>
        <w:rPr>
          <w:rFonts w:cs="Times New Roman"/>
          <w:szCs w:val="24"/>
        </w:rPr>
        <w:t xml:space="preserve">Pack-Cosme, K. (2024) Dually noted: Examining the implications of dual enrollment course structure for students’ course and college enrollment outcomes. </w:t>
      </w:r>
      <w:r w:rsidRPr="009C662B">
        <w:rPr>
          <w:rFonts w:cs="Times New Roman"/>
          <w:i/>
          <w:iCs/>
          <w:szCs w:val="24"/>
        </w:rPr>
        <w:t>American Educational Research Journal, 61</w:t>
      </w:r>
      <w:r>
        <w:rPr>
          <w:rFonts w:cs="Times New Roman"/>
          <w:szCs w:val="24"/>
        </w:rPr>
        <w:t xml:space="preserve">(4), 803-841. </w:t>
      </w:r>
      <w:hyperlink r:id="rId94" w:history="1">
        <w:r w:rsidR="00097E3F" w:rsidRPr="004841C6">
          <w:rPr>
            <w:rStyle w:val="Hyperlink"/>
          </w:rPr>
          <w:t>https://doi.org/10.3102/00028312241257453</w:t>
        </w:r>
      </w:hyperlink>
      <w:r w:rsidR="00097E3F">
        <w:t xml:space="preserve"> </w:t>
      </w:r>
    </w:p>
    <w:p w14:paraId="6CEF1FDF" w14:textId="2AE5753D" w:rsidR="008C77FF" w:rsidRDefault="008C77FF" w:rsidP="0068448F">
      <w:pPr>
        <w:ind w:left="720" w:hanging="720"/>
        <w:rPr>
          <w:rFonts w:cs="Times New Roman"/>
          <w:szCs w:val="24"/>
        </w:rPr>
      </w:pPr>
      <w:r>
        <w:rPr>
          <w:rFonts w:cs="Times New Roman"/>
          <w:szCs w:val="24"/>
        </w:rPr>
        <w:t xml:space="preserve">Schaller, T. K., Routon, P. W., Partridge, M. A., </w:t>
      </w:r>
      <w:r w:rsidR="00FF2E7A">
        <w:rPr>
          <w:rFonts w:cs="Times New Roman"/>
          <w:szCs w:val="24"/>
        </w:rPr>
        <w:t xml:space="preserve">&amp; </w:t>
      </w:r>
      <w:r>
        <w:rPr>
          <w:rFonts w:cs="Times New Roman"/>
          <w:szCs w:val="24"/>
        </w:rPr>
        <w:t xml:space="preserve">Berry, R. (2025). A systematic review and meta-analysis of dual enrollment research. </w:t>
      </w:r>
      <w:r w:rsidRPr="009C662B">
        <w:rPr>
          <w:rFonts w:cs="Times New Roman"/>
          <w:i/>
          <w:iCs/>
          <w:szCs w:val="24"/>
        </w:rPr>
        <w:t>Journal of College Student Retention: Research, Theory &amp; Practice</w:t>
      </w:r>
      <w:r w:rsidR="009C662B">
        <w:rPr>
          <w:rFonts w:cs="Times New Roman"/>
          <w:i/>
          <w:iCs/>
          <w:szCs w:val="24"/>
        </w:rPr>
        <w:t>,</w:t>
      </w:r>
      <w:r w:rsidRPr="009C662B">
        <w:rPr>
          <w:rFonts w:cs="Times New Roman"/>
          <w:i/>
          <w:iCs/>
          <w:szCs w:val="24"/>
        </w:rPr>
        <w:t xml:space="preserve"> 27</w:t>
      </w:r>
      <w:r>
        <w:rPr>
          <w:rFonts w:cs="Times New Roman"/>
          <w:szCs w:val="24"/>
        </w:rPr>
        <w:t xml:space="preserve">(1), 263-289. </w:t>
      </w:r>
      <w:hyperlink r:id="rId95" w:history="1">
        <w:r w:rsidRPr="007169ED">
          <w:rPr>
            <w:rStyle w:val="Hyperlink"/>
            <w:rFonts w:cs="Times New Roman"/>
            <w:szCs w:val="24"/>
          </w:rPr>
          <w:t>https://doi.org/10.1177/15210251231170331</w:t>
        </w:r>
      </w:hyperlink>
      <w:r>
        <w:rPr>
          <w:rFonts w:cs="Times New Roman"/>
          <w:szCs w:val="24"/>
        </w:rPr>
        <w:t xml:space="preserve">  </w:t>
      </w:r>
    </w:p>
    <w:p w14:paraId="3F928F2D" w14:textId="450F0993" w:rsidR="00247C9F" w:rsidRDefault="00247C9F" w:rsidP="0068448F">
      <w:pPr>
        <w:ind w:left="720" w:hanging="720"/>
        <w:rPr>
          <w:rFonts w:cs="Times New Roman"/>
          <w:szCs w:val="24"/>
        </w:rPr>
      </w:pPr>
      <w:r>
        <w:rPr>
          <w:rFonts w:cs="Times New Roman"/>
          <w:szCs w:val="24"/>
        </w:rPr>
        <w:t>Schlossberg</w:t>
      </w:r>
      <w:r w:rsidR="00F32060">
        <w:rPr>
          <w:rFonts w:cs="Times New Roman"/>
          <w:szCs w:val="24"/>
        </w:rPr>
        <w:t xml:space="preserve">, </w:t>
      </w:r>
      <w:r w:rsidR="00C129C6">
        <w:rPr>
          <w:rFonts w:cs="Times New Roman"/>
          <w:szCs w:val="24"/>
        </w:rPr>
        <w:t xml:space="preserve">N. </w:t>
      </w:r>
      <w:r w:rsidR="00D84C2A">
        <w:rPr>
          <w:rFonts w:cs="Times New Roman"/>
          <w:szCs w:val="24"/>
        </w:rPr>
        <w:t>K.</w:t>
      </w:r>
      <w:r w:rsidR="008C77FF">
        <w:rPr>
          <w:rFonts w:cs="Times New Roman"/>
          <w:szCs w:val="24"/>
        </w:rPr>
        <w:t xml:space="preserve"> </w:t>
      </w:r>
      <w:r w:rsidR="00C129C6">
        <w:rPr>
          <w:rFonts w:cs="Times New Roman"/>
          <w:szCs w:val="24"/>
        </w:rPr>
        <w:t>(</w:t>
      </w:r>
      <w:r w:rsidR="00D84C2A">
        <w:rPr>
          <w:rFonts w:cs="Times New Roman"/>
          <w:szCs w:val="24"/>
        </w:rPr>
        <w:t>1981</w:t>
      </w:r>
      <w:r w:rsidR="00C129C6">
        <w:rPr>
          <w:rFonts w:cs="Times New Roman"/>
          <w:szCs w:val="24"/>
        </w:rPr>
        <w:t>). A model for analyzing human adaptation to transition.</w:t>
      </w:r>
      <w:r w:rsidR="00D84C2A">
        <w:rPr>
          <w:rFonts w:cs="Times New Roman"/>
          <w:szCs w:val="24"/>
        </w:rPr>
        <w:t xml:space="preserve"> </w:t>
      </w:r>
      <w:r w:rsidR="00D84C2A" w:rsidRPr="00D84C2A">
        <w:rPr>
          <w:rFonts w:cs="Times New Roman"/>
          <w:i/>
          <w:szCs w:val="24"/>
        </w:rPr>
        <w:t>The Counseling Psychologist, 9</w:t>
      </w:r>
      <w:r w:rsidR="00D84C2A">
        <w:rPr>
          <w:rFonts w:cs="Times New Roman"/>
          <w:szCs w:val="24"/>
        </w:rPr>
        <w:t>(2), 2-18.</w:t>
      </w:r>
      <w:r w:rsidR="00055BBC">
        <w:rPr>
          <w:rFonts w:cs="Times New Roman"/>
          <w:szCs w:val="24"/>
        </w:rPr>
        <w:t xml:space="preserve"> </w:t>
      </w:r>
      <w:hyperlink r:id="rId96" w:history="1">
        <w:r w:rsidR="00055BBC" w:rsidRPr="00551254">
          <w:rPr>
            <w:rStyle w:val="Hyperlink"/>
            <w:rFonts w:cs="Times New Roman"/>
            <w:szCs w:val="24"/>
          </w:rPr>
          <w:t>https://doi.org/10.1177/001100008100900202</w:t>
        </w:r>
      </w:hyperlink>
      <w:r w:rsidR="00055BBC">
        <w:rPr>
          <w:rFonts w:cs="Times New Roman"/>
          <w:szCs w:val="24"/>
        </w:rPr>
        <w:t xml:space="preserve"> </w:t>
      </w:r>
      <w:r w:rsidR="00D84C2A">
        <w:rPr>
          <w:rFonts w:cs="Times New Roman"/>
          <w:szCs w:val="24"/>
        </w:rPr>
        <w:t xml:space="preserve"> </w:t>
      </w:r>
    </w:p>
    <w:p w14:paraId="2BBA5A30" w14:textId="256A3563" w:rsidR="00C129C6" w:rsidRPr="00C129C6" w:rsidRDefault="00C129C6" w:rsidP="0068448F">
      <w:pPr>
        <w:ind w:left="720" w:hanging="720"/>
        <w:rPr>
          <w:rFonts w:cs="Times New Roman"/>
          <w:szCs w:val="24"/>
        </w:rPr>
      </w:pPr>
      <w:r>
        <w:rPr>
          <w:rFonts w:cs="Times New Roman"/>
          <w:szCs w:val="24"/>
        </w:rPr>
        <w:t xml:space="preserve">Schlossberg, N. K. (2008). </w:t>
      </w:r>
      <w:r w:rsidRPr="00C129C6">
        <w:rPr>
          <w:rFonts w:cs="Times New Roman"/>
          <w:i/>
          <w:szCs w:val="24"/>
        </w:rPr>
        <w:t xml:space="preserve">Overwhelmed: Coping with life’s ups and downs. </w:t>
      </w:r>
      <w:r w:rsidR="004348A5">
        <w:rPr>
          <w:rFonts w:cs="Times New Roman"/>
          <w:iCs/>
          <w:szCs w:val="24"/>
        </w:rPr>
        <w:t>(</w:t>
      </w:r>
      <w:r w:rsidRPr="004348A5">
        <w:rPr>
          <w:rFonts w:cs="Times New Roman"/>
          <w:iCs/>
          <w:szCs w:val="24"/>
        </w:rPr>
        <w:t>2</w:t>
      </w:r>
      <w:r w:rsidRPr="004348A5">
        <w:rPr>
          <w:rFonts w:cs="Times New Roman"/>
          <w:iCs/>
          <w:szCs w:val="24"/>
          <w:vertAlign w:val="superscript"/>
        </w:rPr>
        <w:t>nd</w:t>
      </w:r>
      <w:r w:rsidRPr="004348A5">
        <w:rPr>
          <w:rFonts w:cs="Times New Roman"/>
          <w:iCs/>
          <w:szCs w:val="24"/>
        </w:rPr>
        <w:t xml:space="preserve"> ed.</w:t>
      </w:r>
      <w:r w:rsidR="004348A5">
        <w:rPr>
          <w:rFonts w:cs="Times New Roman"/>
          <w:iCs/>
          <w:szCs w:val="24"/>
        </w:rPr>
        <w:t>)</w:t>
      </w:r>
      <w:r>
        <w:rPr>
          <w:rFonts w:cs="Times New Roman"/>
          <w:i/>
          <w:szCs w:val="24"/>
        </w:rPr>
        <w:t xml:space="preserve"> </w:t>
      </w:r>
      <w:r w:rsidR="0059738A">
        <w:rPr>
          <w:rFonts w:cs="Times New Roman"/>
          <w:szCs w:val="24"/>
        </w:rPr>
        <w:t>M. Evans</w:t>
      </w:r>
      <w:r w:rsidR="001123BA">
        <w:rPr>
          <w:rFonts w:cs="Times New Roman"/>
          <w:szCs w:val="24"/>
        </w:rPr>
        <w:t xml:space="preserve"> &amp; Company</w:t>
      </w:r>
      <w:r w:rsidR="0059738A">
        <w:rPr>
          <w:rFonts w:cs="Times New Roman"/>
          <w:szCs w:val="24"/>
        </w:rPr>
        <w:t>.</w:t>
      </w:r>
      <w:r>
        <w:rPr>
          <w:rFonts w:cs="Times New Roman"/>
          <w:szCs w:val="24"/>
        </w:rPr>
        <w:t xml:space="preserve"> </w:t>
      </w:r>
    </w:p>
    <w:p w14:paraId="1B36DF43" w14:textId="4C30456F" w:rsidR="004348A5" w:rsidRDefault="004348A5" w:rsidP="004348A5">
      <w:pPr>
        <w:ind w:left="720" w:hanging="720"/>
        <w:rPr>
          <w:rFonts w:cs="Times New Roman"/>
          <w:color w:val="000000" w:themeColor="text1"/>
          <w:szCs w:val="24"/>
        </w:rPr>
      </w:pPr>
      <w:r>
        <w:rPr>
          <w:rFonts w:cs="Times New Roman"/>
          <w:color w:val="000000" w:themeColor="text1"/>
          <w:szCs w:val="24"/>
        </w:rPr>
        <w:lastRenderedPageBreak/>
        <w:t xml:space="preserve">Song, M., &amp; Zeiser, K. L., (2019). </w:t>
      </w:r>
      <w:r w:rsidRPr="000B6A7E">
        <w:rPr>
          <w:rFonts w:cs="Times New Roman"/>
          <w:i/>
          <w:iCs/>
          <w:color w:val="000000" w:themeColor="text1"/>
          <w:szCs w:val="24"/>
        </w:rPr>
        <w:t xml:space="preserve">Early college, continued success: Longer-term impact of early college high schools. </w:t>
      </w:r>
      <w:r>
        <w:rPr>
          <w:rFonts w:cs="Times New Roman"/>
          <w:color w:val="000000" w:themeColor="text1"/>
          <w:szCs w:val="24"/>
        </w:rPr>
        <w:t xml:space="preserve">American Institute of Research. </w:t>
      </w:r>
      <w:hyperlink r:id="rId97" w:history="1">
        <w:r w:rsidRPr="00DA73CD">
          <w:rPr>
            <w:rStyle w:val="Hyperlink"/>
            <w:rFonts w:cs="Times New Roman"/>
            <w:szCs w:val="24"/>
          </w:rPr>
          <w:t>https://files.eric.ed.gov/fulltext/ED602451.pdf</w:t>
        </w:r>
      </w:hyperlink>
    </w:p>
    <w:p w14:paraId="7250ABC5" w14:textId="722F94EE" w:rsidR="00B26B07" w:rsidRDefault="00B26B07" w:rsidP="004348A5">
      <w:pPr>
        <w:ind w:left="720" w:hanging="720"/>
        <w:rPr>
          <w:rFonts w:cs="Times New Roman"/>
          <w:color w:val="000000" w:themeColor="text1"/>
          <w:szCs w:val="24"/>
        </w:rPr>
      </w:pPr>
      <w:r>
        <w:rPr>
          <w:rFonts w:cs="Times New Roman"/>
          <w:color w:val="000000" w:themeColor="text1"/>
          <w:szCs w:val="24"/>
        </w:rPr>
        <w:t xml:space="preserve">Sparks, D., Griffin, S., &amp; Fink, J. (2024, January). </w:t>
      </w:r>
      <w:r w:rsidRPr="00B26B07">
        <w:rPr>
          <w:rFonts w:cs="Times New Roman"/>
          <w:i/>
          <w:iCs/>
          <w:color w:val="000000" w:themeColor="text1"/>
          <w:szCs w:val="24"/>
        </w:rPr>
        <w:t>“Waiving” goodbye to placement testing: Broadening the benefits of dual enrollment through statewide policy.</w:t>
      </w:r>
      <w:r>
        <w:rPr>
          <w:rFonts w:cs="Times New Roman"/>
          <w:color w:val="000000" w:themeColor="text1"/>
          <w:szCs w:val="24"/>
        </w:rPr>
        <w:t xml:space="preserve"> (CCRC Working Paper No. 135). </w:t>
      </w:r>
      <w:hyperlink r:id="rId98" w:history="1">
        <w:r w:rsidRPr="00AB051E">
          <w:rPr>
            <w:rStyle w:val="Hyperlink"/>
            <w:rFonts w:cs="Times New Roman"/>
            <w:szCs w:val="24"/>
          </w:rPr>
          <w:t>https://ccrc.tc.columbia.edu/wp-content/uploads/2024/01/waiving-goodbye-placement-testing-broadening-benefits.pdf</w:t>
        </w:r>
      </w:hyperlink>
      <w:r>
        <w:rPr>
          <w:rFonts w:cs="Times New Roman"/>
          <w:color w:val="000000" w:themeColor="text1"/>
          <w:szCs w:val="24"/>
        </w:rPr>
        <w:t xml:space="preserve"> </w:t>
      </w:r>
    </w:p>
    <w:p w14:paraId="22C7BFFD" w14:textId="23731EC8" w:rsidR="00615859" w:rsidRDefault="00615859" w:rsidP="004348A5">
      <w:pPr>
        <w:ind w:left="720" w:hanging="720"/>
        <w:rPr>
          <w:rFonts w:cs="Times New Roman"/>
          <w:color w:val="000000" w:themeColor="text1"/>
          <w:szCs w:val="24"/>
        </w:rPr>
      </w:pPr>
      <w:r>
        <w:rPr>
          <w:rFonts w:cs="Times New Roman"/>
          <w:color w:val="000000" w:themeColor="text1"/>
          <w:szCs w:val="24"/>
        </w:rPr>
        <w:t xml:space="preserve">Speroni, C. (2011). </w:t>
      </w:r>
      <w:r w:rsidR="006757FF" w:rsidRPr="006757FF">
        <w:rPr>
          <w:rFonts w:cs="Times New Roman"/>
          <w:i/>
          <w:iCs/>
          <w:color w:val="000000" w:themeColor="text1"/>
          <w:szCs w:val="24"/>
        </w:rPr>
        <w:t>Determinants of students’ success: The role of advanced placement and dual enrollment programs.</w:t>
      </w:r>
      <w:r w:rsidR="006757FF">
        <w:rPr>
          <w:rFonts w:cs="Times New Roman"/>
          <w:color w:val="000000" w:themeColor="text1"/>
          <w:szCs w:val="24"/>
        </w:rPr>
        <w:t xml:space="preserve"> </w:t>
      </w:r>
      <w:r w:rsidR="00593D24">
        <w:rPr>
          <w:rFonts w:cs="Times New Roman"/>
          <w:color w:val="000000" w:themeColor="text1"/>
          <w:szCs w:val="24"/>
        </w:rPr>
        <w:t xml:space="preserve">(NCPR Working Paper). </w:t>
      </w:r>
      <w:r w:rsidR="006757FF">
        <w:rPr>
          <w:rFonts w:cs="Times New Roman"/>
          <w:color w:val="000000" w:themeColor="text1"/>
          <w:szCs w:val="24"/>
        </w:rPr>
        <w:t xml:space="preserve">National Center for Postsecondary Research. </w:t>
      </w:r>
      <w:hyperlink r:id="rId99" w:history="1">
        <w:r w:rsidR="006757FF" w:rsidRPr="00AB051E">
          <w:rPr>
            <w:rStyle w:val="Hyperlink"/>
            <w:rFonts w:cs="Times New Roman"/>
            <w:szCs w:val="24"/>
          </w:rPr>
          <w:t>https://files.eric.ed.gov/fulltext/ED527528.pdf</w:t>
        </w:r>
      </w:hyperlink>
      <w:r w:rsidR="006757FF">
        <w:rPr>
          <w:rFonts w:cs="Times New Roman"/>
          <w:color w:val="000000" w:themeColor="text1"/>
          <w:szCs w:val="24"/>
        </w:rPr>
        <w:t xml:space="preserve"> </w:t>
      </w:r>
    </w:p>
    <w:p w14:paraId="1B0B6BA3" w14:textId="4A4DB93A" w:rsidR="009B6DA5" w:rsidRDefault="009B6DA5" w:rsidP="004348A5">
      <w:pPr>
        <w:ind w:left="720" w:hanging="720"/>
        <w:rPr>
          <w:rFonts w:cs="Times New Roman"/>
          <w:color w:val="000000" w:themeColor="text1"/>
          <w:szCs w:val="24"/>
        </w:rPr>
      </w:pPr>
      <w:r>
        <w:rPr>
          <w:rFonts w:cs="Times New Roman"/>
          <w:color w:val="000000" w:themeColor="text1"/>
          <w:szCs w:val="24"/>
        </w:rPr>
        <w:t xml:space="preserve">Struhl, B., &amp; Vargas, J. (2012). </w:t>
      </w:r>
      <w:r w:rsidRPr="009B6DA5">
        <w:rPr>
          <w:rFonts w:cs="Times New Roman"/>
          <w:i/>
          <w:iCs/>
          <w:color w:val="000000" w:themeColor="text1"/>
          <w:szCs w:val="24"/>
        </w:rPr>
        <w:t>Taking college courses in high school: A strategy guide for college readiness—The college outcomes of dual enrollment in Texas.</w:t>
      </w:r>
      <w:r>
        <w:rPr>
          <w:rFonts w:cs="Times New Roman"/>
          <w:color w:val="000000" w:themeColor="text1"/>
          <w:szCs w:val="24"/>
        </w:rPr>
        <w:t xml:space="preserve"> Jobs for the Future. </w:t>
      </w:r>
      <w:hyperlink r:id="rId100" w:history="1">
        <w:r w:rsidRPr="004841C6">
          <w:rPr>
            <w:rStyle w:val="Hyperlink"/>
            <w:rFonts w:cs="Times New Roman"/>
            <w:szCs w:val="24"/>
          </w:rPr>
          <w:t>https://files.eric.ed.gov/fulltext/ED537253.pdf</w:t>
        </w:r>
      </w:hyperlink>
      <w:r>
        <w:rPr>
          <w:rFonts w:cs="Times New Roman"/>
          <w:color w:val="000000" w:themeColor="text1"/>
          <w:szCs w:val="24"/>
        </w:rPr>
        <w:t xml:space="preserve"> </w:t>
      </w:r>
    </w:p>
    <w:p w14:paraId="13A77B6E" w14:textId="4FC3867E" w:rsidR="004348A5" w:rsidRPr="004348A5" w:rsidRDefault="004348A5" w:rsidP="004348A5">
      <w:pPr>
        <w:ind w:left="720" w:hanging="720"/>
        <w:rPr>
          <w:rFonts w:cs="Times New Roman"/>
          <w:color w:val="000000" w:themeColor="text1"/>
          <w:szCs w:val="24"/>
        </w:rPr>
      </w:pPr>
      <w:r>
        <w:rPr>
          <w:rFonts w:cs="Times New Roman"/>
          <w:color w:val="000000" w:themeColor="text1"/>
          <w:szCs w:val="24"/>
        </w:rPr>
        <w:t>Swanson, J.</w:t>
      </w:r>
      <w:r w:rsidR="003F775D">
        <w:rPr>
          <w:rFonts w:cs="Times New Roman"/>
          <w:color w:val="000000" w:themeColor="text1"/>
          <w:szCs w:val="24"/>
        </w:rPr>
        <w:t xml:space="preserve"> </w:t>
      </w:r>
      <w:r>
        <w:rPr>
          <w:rFonts w:cs="Times New Roman"/>
          <w:color w:val="000000" w:themeColor="text1"/>
          <w:szCs w:val="24"/>
        </w:rPr>
        <w:t xml:space="preserve">L. (2016). Dual enrollment course participation and effects upon student persistence in college. In </w:t>
      </w:r>
      <w:r w:rsidRPr="00291504">
        <w:rPr>
          <w:rFonts w:cs="Times New Roman"/>
          <w:color w:val="000000" w:themeColor="text1"/>
          <w:szCs w:val="24"/>
        </w:rPr>
        <w:t>E</w:t>
      </w:r>
      <w:r>
        <w:rPr>
          <w:rFonts w:cs="Times New Roman"/>
          <w:color w:val="000000" w:themeColor="text1"/>
          <w:szCs w:val="24"/>
        </w:rPr>
        <w:t>d</w:t>
      </w:r>
      <w:r w:rsidRPr="00291504">
        <w:rPr>
          <w:rFonts w:cs="Times New Roman"/>
          <w:color w:val="000000" w:themeColor="text1"/>
          <w:szCs w:val="24"/>
        </w:rPr>
        <w:t>monds, G</w:t>
      </w:r>
      <w:r>
        <w:rPr>
          <w:rFonts w:cs="Times New Roman"/>
          <w:color w:val="000000" w:themeColor="text1"/>
          <w:szCs w:val="24"/>
        </w:rPr>
        <w:t>.,</w:t>
      </w:r>
      <w:r w:rsidRPr="00291504">
        <w:rPr>
          <w:rFonts w:cs="Times New Roman"/>
          <w:color w:val="000000" w:themeColor="text1"/>
          <w:szCs w:val="24"/>
        </w:rPr>
        <w:t xml:space="preserve"> &amp; Squires, T. </w:t>
      </w:r>
      <w:r w:rsidRPr="00F529C9">
        <w:rPr>
          <w:rFonts w:cs="Times New Roman"/>
          <w:i/>
          <w:color w:val="000000" w:themeColor="text1"/>
          <w:szCs w:val="24"/>
        </w:rPr>
        <w:t>Bridging the high school-college gap: The role of concurrent enrollment programs.</w:t>
      </w:r>
      <w:r w:rsidRPr="00291504">
        <w:rPr>
          <w:rFonts w:cs="Times New Roman"/>
          <w:color w:val="000000" w:themeColor="text1"/>
          <w:szCs w:val="24"/>
        </w:rPr>
        <w:t xml:space="preserve"> </w:t>
      </w:r>
      <w:r>
        <w:rPr>
          <w:rFonts w:cs="Times New Roman"/>
          <w:color w:val="000000" w:themeColor="text1"/>
          <w:szCs w:val="24"/>
        </w:rPr>
        <w:t xml:space="preserve">(pp. 138-147). </w:t>
      </w:r>
      <w:r w:rsidRPr="00291504">
        <w:rPr>
          <w:rFonts w:cs="Times New Roman"/>
          <w:color w:val="000000" w:themeColor="text1"/>
          <w:szCs w:val="24"/>
        </w:rPr>
        <w:t>Syracuse University Press.</w:t>
      </w:r>
    </w:p>
    <w:p w14:paraId="74898E56" w14:textId="0E49B92A" w:rsidR="0040298E" w:rsidRDefault="0040298E" w:rsidP="0068448F">
      <w:pPr>
        <w:ind w:left="720" w:hanging="720"/>
        <w:rPr>
          <w:rFonts w:cs="Times New Roman"/>
          <w:szCs w:val="24"/>
        </w:rPr>
      </w:pPr>
      <w:r>
        <w:rPr>
          <w:rFonts w:cs="Times New Roman"/>
          <w:szCs w:val="24"/>
        </w:rPr>
        <w:t xml:space="preserve">Taylor, J. L., Allen, O. A., An, B. P., Denecker, C., Edmunds, J. A., Fink, J., Giani, M. S., Hodara, M., Hu, X., Tobolowsky, B. F., &amp; Chen, W. (2022). </w:t>
      </w:r>
      <w:r w:rsidRPr="00004D91">
        <w:rPr>
          <w:rFonts w:cs="Times New Roman"/>
          <w:i/>
          <w:iCs/>
          <w:szCs w:val="24"/>
        </w:rPr>
        <w:t xml:space="preserve">Research priorities for advancing equitable dual enrollment policy and practice. </w:t>
      </w:r>
      <w:r w:rsidR="00004D91">
        <w:rPr>
          <w:rFonts w:cs="Times New Roman"/>
          <w:szCs w:val="24"/>
        </w:rPr>
        <w:t xml:space="preserve">University of Utah. </w:t>
      </w:r>
      <w:hyperlink r:id="rId101" w:history="1">
        <w:r w:rsidR="00004D91" w:rsidRPr="004841C6">
          <w:rPr>
            <w:rStyle w:val="Hyperlink"/>
            <w:rFonts w:cs="Times New Roman"/>
            <w:szCs w:val="24"/>
          </w:rPr>
          <w:t>https://cherp.utah.edu/_resources/documents/publications/research_priorities_for_advancing_equitable_dual_enrollment_policy_and_practice.pdf</w:t>
        </w:r>
      </w:hyperlink>
      <w:r w:rsidR="00004D91">
        <w:rPr>
          <w:rFonts w:cs="Times New Roman"/>
          <w:szCs w:val="24"/>
        </w:rPr>
        <w:t xml:space="preserve"> </w:t>
      </w:r>
    </w:p>
    <w:p w14:paraId="0D47DE69" w14:textId="15302F0C" w:rsidR="00CD366B" w:rsidRPr="00CD366B" w:rsidRDefault="00CD366B" w:rsidP="0068448F">
      <w:pPr>
        <w:ind w:left="720" w:hanging="720"/>
        <w:rPr>
          <w:rFonts w:cs="Times New Roman"/>
          <w:szCs w:val="24"/>
        </w:rPr>
      </w:pPr>
      <w:r>
        <w:rPr>
          <w:rFonts w:cs="Times New Roman"/>
          <w:szCs w:val="24"/>
        </w:rPr>
        <w:lastRenderedPageBreak/>
        <w:t xml:space="preserve">Taylor, J. L., Borden, V. H. M., &amp; Park, E. (2015). State dual credit policy: A national perspective. </w:t>
      </w:r>
      <w:r w:rsidRPr="00CD366B">
        <w:rPr>
          <w:rFonts w:cs="Times New Roman"/>
          <w:i/>
          <w:iCs/>
          <w:szCs w:val="24"/>
        </w:rPr>
        <w:t>New Directions for Community Colleges, 169</w:t>
      </w:r>
      <w:r>
        <w:rPr>
          <w:rFonts w:cs="Times New Roman"/>
          <w:szCs w:val="24"/>
        </w:rPr>
        <w:t xml:space="preserve">, 9-19. </w:t>
      </w:r>
      <w:hyperlink r:id="rId102" w:history="1">
        <w:r w:rsidRPr="004841C6">
          <w:rPr>
            <w:rStyle w:val="Hyperlink"/>
            <w:rFonts w:cs="Times New Roman"/>
            <w:szCs w:val="24"/>
          </w:rPr>
          <w:t>https://doi.org/10.1002/cc.20128</w:t>
        </w:r>
      </w:hyperlink>
      <w:r>
        <w:rPr>
          <w:rFonts w:cs="Times New Roman"/>
          <w:szCs w:val="24"/>
        </w:rPr>
        <w:t xml:space="preserve"> </w:t>
      </w:r>
    </w:p>
    <w:p w14:paraId="61E2732A" w14:textId="6F00D101" w:rsidR="006552EA" w:rsidRPr="00483171" w:rsidRDefault="006552EA" w:rsidP="006552EA">
      <w:pPr>
        <w:ind w:left="720" w:hanging="720"/>
        <w:rPr>
          <w:rFonts w:cs="Times New Roman"/>
          <w:color w:val="000000" w:themeColor="text1"/>
          <w:szCs w:val="24"/>
        </w:rPr>
      </w:pPr>
      <w:r w:rsidRPr="00483171">
        <w:rPr>
          <w:rFonts w:cs="Times New Roman"/>
          <w:color w:val="000000" w:themeColor="text1"/>
          <w:szCs w:val="24"/>
        </w:rPr>
        <w:t xml:space="preserve">Tennessee Board of Regents. (n.d.-a). </w:t>
      </w:r>
      <w:r w:rsidRPr="00483171">
        <w:rPr>
          <w:rFonts w:cs="Times New Roman"/>
          <w:i/>
          <w:color w:val="000000" w:themeColor="text1"/>
          <w:szCs w:val="24"/>
        </w:rPr>
        <w:t>Glossary of terms.</w:t>
      </w:r>
      <w:r w:rsidRPr="00483171">
        <w:rPr>
          <w:rFonts w:cs="Times New Roman"/>
          <w:color w:val="000000" w:themeColor="text1"/>
          <w:szCs w:val="24"/>
        </w:rPr>
        <w:t xml:space="preserve"> </w:t>
      </w:r>
      <w:r w:rsidR="004849E8" w:rsidRPr="00483171">
        <w:rPr>
          <w:rFonts w:cs="Times New Roman"/>
          <w:color w:val="000000" w:themeColor="text1"/>
          <w:szCs w:val="24"/>
        </w:rPr>
        <w:t xml:space="preserve">Retrieved March 1, 2023, from </w:t>
      </w:r>
      <w:hyperlink r:id="rId103" w:anchor="C" w:history="1">
        <w:r w:rsidR="004849E8" w:rsidRPr="00483171">
          <w:rPr>
            <w:rStyle w:val="Hyperlink"/>
            <w:rFonts w:cs="Times New Roman"/>
            <w:szCs w:val="24"/>
          </w:rPr>
          <w:t>https://www.tbr.edu/policy-strategy/terms#C</w:t>
        </w:r>
      </w:hyperlink>
      <w:r w:rsidRPr="00483171">
        <w:rPr>
          <w:rFonts w:cs="Times New Roman"/>
          <w:color w:val="000000" w:themeColor="text1"/>
          <w:szCs w:val="24"/>
        </w:rPr>
        <w:t xml:space="preserve"> </w:t>
      </w:r>
    </w:p>
    <w:p w14:paraId="4768EA13" w14:textId="0D51BE6F" w:rsidR="006552EA" w:rsidRPr="00831B8A" w:rsidRDefault="006552EA" w:rsidP="006552EA">
      <w:pPr>
        <w:ind w:left="720" w:hanging="720"/>
        <w:rPr>
          <w:rFonts w:cs="Times New Roman"/>
          <w:color w:val="000000" w:themeColor="text1"/>
          <w:szCs w:val="24"/>
        </w:rPr>
      </w:pPr>
      <w:r w:rsidRPr="00831B8A">
        <w:rPr>
          <w:rFonts w:cs="Times New Roman"/>
          <w:color w:val="000000" w:themeColor="text1"/>
          <w:szCs w:val="24"/>
        </w:rPr>
        <w:t xml:space="preserve">Tennessee Board of Regents. (n.d.-b). </w:t>
      </w:r>
      <w:r w:rsidRPr="00831B8A">
        <w:rPr>
          <w:rFonts w:cs="Times New Roman"/>
          <w:i/>
          <w:iCs/>
          <w:color w:val="000000" w:themeColor="text1"/>
          <w:szCs w:val="24"/>
        </w:rPr>
        <w:t>Governor’s Drive to 55</w:t>
      </w:r>
      <w:r w:rsidRPr="00831B8A">
        <w:rPr>
          <w:rFonts w:cs="Times New Roman"/>
          <w:color w:val="000000" w:themeColor="text1"/>
          <w:szCs w:val="24"/>
        </w:rPr>
        <w:t xml:space="preserve">. </w:t>
      </w:r>
      <w:r w:rsidR="005C137D" w:rsidRPr="00831B8A">
        <w:rPr>
          <w:rFonts w:cs="Times New Roman"/>
          <w:color w:val="000000" w:themeColor="text1"/>
          <w:szCs w:val="24"/>
        </w:rPr>
        <w:t>Retrieved</w:t>
      </w:r>
      <w:r w:rsidR="004849E8" w:rsidRPr="00831B8A">
        <w:rPr>
          <w:rFonts w:cs="Times New Roman"/>
          <w:color w:val="000000" w:themeColor="text1"/>
          <w:szCs w:val="24"/>
        </w:rPr>
        <w:t xml:space="preserve">, </w:t>
      </w:r>
      <w:r w:rsidR="00831B8A" w:rsidRPr="00831B8A">
        <w:rPr>
          <w:rFonts w:cs="Times New Roman"/>
          <w:color w:val="000000" w:themeColor="text1"/>
          <w:szCs w:val="24"/>
        </w:rPr>
        <w:t>March 1</w:t>
      </w:r>
      <w:r w:rsidR="004849E8" w:rsidRPr="00831B8A">
        <w:rPr>
          <w:rFonts w:cs="Times New Roman"/>
          <w:color w:val="000000" w:themeColor="text1"/>
          <w:szCs w:val="24"/>
        </w:rPr>
        <w:t>,</w:t>
      </w:r>
      <w:r w:rsidR="00831B8A" w:rsidRPr="00831B8A">
        <w:rPr>
          <w:rFonts w:cs="Times New Roman"/>
          <w:color w:val="000000" w:themeColor="text1"/>
          <w:szCs w:val="24"/>
        </w:rPr>
        <w:t xml:space="preserve"> 2023</w:t>
      </w:r>
      <w:r w:rsidR="004849E8" w:rsidRPr="00831B8A">
        <w:rPr>
          <w:rFonts w:cs="Times New Roman"/>
          <w:color w:val="000000" w:themeColor="text1"/>
          <w:szCs w:val="24"/>
        </w:rPr>
        <w:t xml:space="preserve"> from </w:t>
      </w:r>
      <w:r w:rsidR="005C137D" w:rsidRPr="00831B8A">
        <w:rPr>
          <w:rFonts w:cs="Times New Roman"/>
          <w:color w:val="000000" w:themeColor="text1"/>
          <w:szCs w:val="24"/>
        </w:rPr>
        <w:t xml:space="preserve"> </w:t>
      </w:r>
      <w:hyperlink r:id="rId104" w:history="1">
        <w:r w:rsidR="005C137D" w:rsidRPr="00831B8A">
          <w:rPr>
            <w:rStyle w:val="Hyperlink"/>
            <w:rFonts w:cs="Times New Roman"/>
            <w:szCs w:val="24"/>
          </w:rPr>
          <w:t>https://www.tbr.edu/initiatives/governors-drive-55</w:t>
        </w:r>
      </w:hyperlink>
    </w:p>
    <w:p w14:paraId="1EE8B03F" w14:textId="1C3A4D58" w:rsidR="006552EA" w:rsidRPr="008F5950" w:rsidRDefault="006552EA" w:rsidP="006552EA">
      <w:pPr>
        <w:ind w:left="720" w:hanging="720"/>
        <w:rPr>
          <w:rFonts w:eastAsia="Times New Roman" w:cs="Times New Roman"/>
          <w:color w:val="000000" w:themeColor="text1"/>
          <w:spacing w:val="3"/>
          <w:szCs w:val="24"/>
        </w:rPr>
      </w:pPr>
      <w:r w:rsidRPr="008F5950">
        <w:rPr>
          <w:rFonts w:eastAsia="Times New Roman" w:cs="Times New Roman"/>
          <w:color w:val="000000" w:themeColor="text1"/>
          <w:spacing w:val="3"/>
          <w:szCs w:val="24"/>
        </w:rPr>
        <w:t>Tennessee Board of Regents</w:t>
      </w:r>
      <w:r w:rsidR="00FB2CA8" w:rsidRPr="008F5950">
        <w:rPr>
          <w:rFonts w:eastAsia="Times New Roman" w:cs="Times New Roman"/>
          <w:color w:val="000000" w:themeColor="text1"/>
          <w:spacing w:val="3"/>
          <w:szCs w:val="24"/>
        </w:rPr>
        <w:t>.</w:t>
      </w:r>
      <w:r w:rsidRPr="008F5950">
        <w:rPr>
          <w:rFonts w:eastAsia="Times New Roman" w:cs="Times New Roman"/>
          <w:color w:val="000000" w:themeColor="text1"/>
          <w:spacing w:val="3"/>
          <w:szCs w:val="24"/>
        </w:rPr>
        <w:t xml:space="preserve"> (n.d.-c). </w:t>
      </w:r>
      <w:r w:rsidRPr="008F5950">
        <w:rPr>
          <w:rFonts w:eastAsia="Times New Roman" w:cs="Times New Roman"/>
          <w:i/>
          <w:iCs/>
          <w:color w:val="000000" w:themeColor="text1"/>
          <w:spacing w:val="3"/>
          <w:szCs w:val="24"/>
        </w:rPr>
        <w:t>Our institutions.</w:t>
      </w:r>
      <w:r w:rsidR="008F5950" w:rsidRPr="008F5950">
        <w:rPr>
          <w:rFonts w:eastAsia="Times New Roman" w:cs="Times New Roman"/>
          <w:i/>
          <w:iCs/>
          <w:color w:val="000000" w:themeColor="text1"/>
          <w:spacing w:val="3"/>
          <w:szCs w:val="24"/>
        </w:rPr>
        <w:t xml:space="preserve"> </w:t>
      </w:r>
      <w:r w:rsidR="008F5950" w:rsidRPr="008F5950">
        <w:rPr>
          <w:rFonts w:eastAsia="Times New Roman" w:cs="Times New Roman"/>
          <w:color w:val="000000" w:themeColor="text1"/>
          <w:spacing w:val="3"/>
          <w:szCs w:val="24"/>
        </w:rPr>
        <w:t>Retrieved November 2, 2024, from</w:t>
      </w:r>
      <w:r w:rsidRPr="008F5950">
        <w:rPr>
          <w:rFonts w:eastAsia="Times New Roman" w:cs="Times New Roman"/>
          <w:color w:val="000000" w:themeColor="text1"/>
          <w:spacing w:val="3"/>
          <w:szCs w:val="24"/>
        </w:rPr>
        <w:t xml:space="preserve"> </w:t>
      </w:r>
      <w:hyperlink r:id="rId105" w:history="1">
        <w:r w:rsidRPr="008F5950">
          <w:rPr>
            <w:rStyle w:val="Hyperlink"/>
            <w:rFonts w:eastAsia="Times New Roman" w:cs="Times New Roman"/>
            <w:spacing w:val="3"/>
            <w:szCs w:val="24"/>
          </w:rPr>
          <w:t>https://www.tbr.edu/institutions/our-institutions</w:t>
        </w:r>
      </w:hyperlink>
      <w:r w:rsidRPr="008F5950">
        <w:rPr>
          <w:rStyle w:val="Hyperlink"/>
          <w:rFonts w:eastAsia="Times New Roman" w:cs="Times New Roman"/>
          <w:spacing w:val="3"/>
          <w:szCs w:val="24"/>
        </w:rPr>
        <w:t xml:space="preserve"> </w:t>
      </w:r>
    </w:p>
    <w:p w14:paraId="5B175023" w14:textId="02F9B4E3" w:rsidR="00F1213F" w:rsidRPr="000A74B3" w:rsidRDefault="006552EA" w:rsidP="000A74B3">
      <w:pPr>
        <w:ind w:left="720" w:hanging="720"/>
        <w:rPr>
          <w:rFonts w:cs="Times New Roman"/>
          <w:color w:val="000000" w:themeColor="text1"/>
          <w:szCs w:val="24"/>
        </w:rPr>
      </w:pPr>
      <w:r w:rsidRPr="008F5950">
        <w:rPr>
          <w:rFonts w:cs="Times New Roman"/>
          <w:color w:val="000000" w:themeColor="text1"/>
          <w:szCs w:val="24"/>
        </w:rPr>
        <w:t xml:space="preserve">Tennessee Board of Regents. (n.d.-d). </w:t>
      </w:r>
      <w:r w:rsidRPr="008F5950">
        <w:rPr>
          <w:rFonts w:cs="Times New Roman"/>
          <w:i/>
          <w:color w:val="000000" w:themeColor="text1"/>
          <w:szCs w:val="24"/>
        </w:rPr>
        <w:t>Tennessee promise: Overview.</w:t>
      </w:r>
      <w:r w:rsidRPr="008F5950">
        <w:rPr>
          <w:rFonts w:cs="Times New Roman"/>
          <w:color w:val="000000" w:themeColor="text1"/>
          <w:szCs w:val="24"/>
        </w:rPr>
        <w:t xml:space="preserve"> </w:t>
      </w:r>
      <w:r w:rsidR="008F5950" w:rsidRPr="008F5950">
        <w:rPr>
          <w:rFonts w:cs="Times New Roman"/>
          <w:color w:val="000000" w:themeColor="text1"/>
          <w:szCs w:val="24"/>
        </w:rPr>
        <w:t xml:space="preserve">Retrieved August 4, 2025, from </w:t>
      </w:r>
      <w:hyperlink r:id="rId106" w:history="1">
        <w:r w:rsidR="008F5950" w:rsidRPr="008F5950">
          <w:rPr>
            <w:rStyle w:val="Hyperlink"/>
            <w:rFonts w:cs="Times New Roman"/>
            <w:szCs w:val="24"/>
          </w:rPr>
          <w:t>https://www.tbr.edu/initiatives/tn-promise</w:t>
        </w:r>
      </w:hyperlink>
    </w:p>
    <w:p w14:paraId="286A281B" w14:textId="77777777" w:rsidR="00F1213F" w:rsidRPr="007B57B3" w:rsidRDefault="00F1213F" w:rsidP="00F1213F">
      <w:pPr>
        <w:ind w:left="720" w:hanging="720"/>
        <w:rPr>
          <w:rFonts w:cs="Times New Roman"/>
          <w:color w:val="000000" w:themeColor="text1"/>
          <w:szCs w:val="24"/>
        </w:rPr>
      </w:pPr>
      <w:bookmarkStart w:id="109" w:name="_Hlk201659109"/>
      <w:r w:rsidRPr="007B57B3">
        <w:rPr>
          <w:rFonts w:cs="Times New Roman"/>
          <w:color w:val="000000" w:themeColor="text1"/>
          <w:szCs w:val="24"/>
        </w:rPr>
        <w:t xml:space="preserve">Tennessee Board of Regents. (2022). </w:t>
      </w:r>
      <w:r w:rsidRPr="007B57B3">
        <w:rPr>
          <w:rFonts w:cs="Times New Roman"/>
          <w:i/>
          <w:color w:val="000000" w:themeColor="text1"/>
          <w:szCs w:val="24"/>
        </w:rPr>
        <w:t>Strategic plan 2015-25 executive summary: Infographic.</w:t>
      </w:r>
      <w:r w:rsidRPr="007B57B3">
        <w:rPr>
          <w:rFonts w:cs="Times New Roman"/>
          <w:color w:val="000000" w:themeColor="text1"/>
          <w:szCs w:val="24"/>
        </w:rPr>
        <w:t xml:space="preserve"> </w:t>
      </w:r>
      <w:hyperlink r:id="rId107" w:history="1">
        <w:r w:rsidRPr="007B57B3">
          <w:rPr>
            <w:rStyle w:val="Hyperlink"/>
            <w:rFonts w:cs="Times New Roman"/>
            <w:szCs w:val="24"/>
          </w:rPr>
          <w:t>https://www.tbr.edu/sites/default/files/2015-25-TBR-Strategic-Plan.pdf</w:t>
        </w:r>
      </w:hyperlink>
      <w:r w:rsidRPr="007B57B3">
        <w:rPr>
          <w:rFonts w:cs="Times New Roman"/>
          <w:color w:val="000000" w:themeColor="text1"/>
          <w:szCs w:val="24"/>
        </w:rPr>
        <w:t xml:space="preserve"> </w:t>
      </w:r>
    </w:p>
    <w:bookmarkEnd w:id="109"/>
    <w:p w14:paraId="0C63B7B0" w14:textId="14CEC2E4" w:rsidR="00CE06C1" w:rsidRPr="007B57B3" w:rsidRDefault="00CE06C1" w:rsidP="00CE06C1">
      <w:pPr>
        <w:ind w:left="720" w:hanging="720"/>
        <w:rPr>
          <w:rFonts w:eastAsia="Times New Roman" w:cs="Times New Roman"/>
          <w:color w:val="000000" w:themeColor="text1"/>
          <w:spacing w:val="3"/>
          <w:szCs w:val="24"/>
          <w:highlight w:val="yellow"/>
        </w:rPr>
      </w:pPr>
      <w:r w:rsidRPr="00796A56">
        <w:rPr>
          <w:rFonts w:eastAsia="Times New Roman" w:cs="Times New Roman"/>
          <w:color w:val="000000" w:themeColor="text1"/>
          <w:spacing w:val="3"/>
          <w:szCs w:val="24"/>
        </w:rPr>
        <w:t>Tennessee Board of Regents</w:t>
      </w:r>
      <w:r w:rsidR="00FB2CA8" w:rsidRPr="00796A56">
        <w:rPr>
          <w:rFonts w:eastAsia="Times New Roman" w:cs="Times New Roman"/>
          <w:color w:val="000000" w:themeColor="text1"/>
          <w:spacing w:val="3"/>
          <w:szCs w:val="24"/>
        </w:rPr>
        <w:t>.</w:t>
      </w:r>
      <w:r w:rsidRPr="00796A56">
        <w:rPr>
          <w:rFonts w:eastAsia="Times New Roman" w:cs="Times New Roman"/>
          <w:color w:val="000000" w:themeColor="text1"/>
          <w:spacing w:val="3"/>
          <w:szCs w:val="24"/>
        </w:rPr>
        <w:t xml:space="preserve"> (2023</w:t>
      </w:r>
      <w:r w:rsidR="00796A56">
        <w:rPr>
          <w:rFonts w:eastAsia="Times New Roman" w:cs="Times New Roman"/>
          <w:color w:val="000000" w:themeColor="text1"/>
          <w:spacing w:val="3"/>
          <w:szCs w:val="24"/>
        </w:rPr>
        <w:t>, March</w:t>
      </w:r>
      <w:r w:rsidR="009F6EBB">
        <w:rPr>
          <w:rFonts w:eastAsia="Times New Roman" w:cs="Times New Roman"/>
          <w:color w:val="000000" w:themeColor="text1"/>
          <w:spacing w:val="3"/>
          <w:szCs w:val="24"/>
        </w:rPr>
        <w:t xml:space="preserve"> 30</w:t>
      </w:r>
      <w:r w:rsidRPr="00796A56">
        <w:rPr>
          <w:rFonts w:eastAsia="Times New Roman" w:cs="Times New Roman"/>
          <w:color w:val="000000" w:themeColor="text1"/>
          <w:spacing w:val="3"/>
          <w:szCs w:val="24"/>
        </w:rPr>
        <w:t xml:space="preserve">). </w:t>
      </w:r>
      <w:r w:rsidRPr="00796A56">
        <w:rPr>
          <w:rFonts w:eastAsia="Times New Roman" w:cs="Times New Roman"/>
          <w:i/>
          <w:color w:val="000000" w:themeColor="text1"/>
          <w:spacing w:val="3"/>
          <w:szCs w:val="24"/>
        </w:rPr>
        <w:t>Dual enrollment of high school students in Tennessee’s community &amp; technical colleges increased 68 percent since 2015.</w:t>
      </w:r>
      <w:r w:rsidR="00796A56" w:rsidRPr="00796A56">
        <w:rPr>
          <w:rFonts w:eastAsia="Times New Roman" w:cs="Times New Roman"/>
          <w:iCs/>
          <w:color w:val="000000" w:themeColor="text1"/>
          <w:spacing w:val="3"/>
          <w:szCs w:val="24"/>
        </w:rPr>
        <w:t xml:space="preserve"> Retrieved September 14, 2025, from </w:t>
      </w:r>
      <w:r w:rsidRPr="007B57B3">
        <w:rPr>
          <w:rFonts w:eastAsia="Times New Roman" w:cs="Times New Roman"/>
          <w:color w:val="000000" w:themeColor="text1"/>
          <w:spacing w:val="3"/>
          <w:szCs w:val="24"/>
          <w:highlight w:val="yellow"/>
        </w:rPr>
        <w:br/>
      </w:r>
      <w:hyperlink r:id="rId108" w:history="1">
        <w:r w:rsidR="00796A56" w:rsidRPr="00026F15">
          <w:rPr>
            <w:rStyle w:val="Hyperlink"/>
            <w:rFonts w:eastAsia="Times New Roman" w:cs="Times New Roman"/>
            <w:spacing w:val="3"/>
            <w:szCs w:val="24"/>
          </w:rPr>
          <w:t>https://www.tbr.edu/news/dual-enrollment-high-school-students-tennessee%E2%80%99s-community-technical-colleges-increased-68</w:t>
        </w:r>
      </w:hyperlink>
      <w:r w:rsidR="00796A56">
        <w:rPr>
          <w:rFonts w:eastAsia="Times New Roman" w:cs="Times New Roman"/>
          <w:color w:val="000000" w:themeColor="text1"/>
          <w:spacing w:val="3"/>
          <w:szCs w:val="24"/>
        </w:rPr>
        <w:t xml:space="preserve"> </w:t>
      </w:r>
    </w:p>
    <w:p w14:paraId="05304299" w14:textId="67DC0539" w:rsidR="00C72B76" w:rsidRPr="007B57B3" w:rsidRDefault="00C72B76" w:rsidP="00C72B76">
      <w:pPr>
        <w:ind w:left="720" w:hanging="720"/>
        <w:rPr>
          <w:rFonts w:eastAsia="Times New Roman" w:cs="Times New Roman"/>
          <w:iCs/>
          <w:color w:val="000000" w:themeColor="text1"/>
          <w:spacing w:val="3"/>
          <w:szCs w:val="24"/>
        </w:rPr>
      </w:pPr>
      <w:r w:rsidRPr="007B57B3">
        <w:rPr>
          <w:rFonts w:eastAsia="Times New Roman" w:cs="Times New Roman"/>
          <w:color w:val="000000" w:themeColor="text1"/>
          <w:spacing w:val="3"/>
          <w:szCs w:val="24"/>
        </w:rPr>
        <w:t>Tennessee Comptroller of the Treasury</w:t>
      </w:r>
      <w:r w:rsidR="00FB2CA8" w:rsidRPr="007B57B3">
        <w:rPr>
          <w:rFonts w:eastAsia="Times New Roman" w:cs="Times New Roman"/>
          <w:color w:val="000000" w:themeColor="text1"/>
          <w:spacing w:val="3"/>
          <w:szCs w:val="24"/>
        </w:rPr>
        <w:t>.</w:t>
      </w:r>
      <w:r w:rsidRPr="007B57B3">
        <w:rPr>
          <w:rFonts w:eastAsia="Times New Roman" w:cs="Times New Roman"/>
          <w:color w:val="000000" w:themeColor="text1"/>
          <w:spacing w:val="3"/>
          <w:szCs w:val="24"/>
        </w:rPr>
        <w:t xml:space="preserve"> (2023). </w:t>
      </w:r>
      <w:r w:rsidRPr="007B57B3">
        <w:rPr>
          <w:rFonts w:eastAsia="Times New Roman" w:cs="Times New Roman"/>
          <w:i/>
          <w:color w:val="000000" w:themeColor="text1"/>
          <w:spacing w:val="3"/>
          <w:szCs w:val="24"/>
        </w:rPr>
        <w:t xml:space="preserve">Legislative brief: </w:t>
      </w:r>
      <w:r w:rsidR="005C43AB" w:rsidRPr="007B57B3">
        <w:rPr>
          <w:rFonts w:eastAsia="Times New Roman" w:cs="Times New Roman"/>
          <w:i/>
          <w:color w:val="000000" w:themeColor="text1"/>
          <w:spacing w:val="3"/>
          <w:szCs w:val="24"/>
        </w:rPr>
        <w:t>O</w:t>
      </w:r>
      <w:r w:rsidRPr="007B57B3">
        <w:rPr>
          <w:rFonts w:eastAsia="Times New Roman" w:cs="Times New Roman"/>
          <w:i/>
          <w:color w:val="000000" w:themeColor="text1"/>
          <w:spacing w:val="3"/>
          <w:szCs w:val="24"/>
        </w:rPr>
        <w:t>utcomes-based funding formula update.</w:t>
      </w:r>
      <w:r w:rsidR="00CA564E" w:rsidRPr="007B57B3">
        <w:rPr>
          <w:rFonts w:eastAsia="Times New Roman" w:cs="Times New Roman"/>
          <w:i/>
          <w:color w:val="000000" w:themeColor="text1"/>
          <w:spacing w:val="3"/>
          <w:szCs w:val="24"/>
        </w:rPr>
        <w:t xml:space="preserve"> </w:t>
      </w:r>
      <w:hyperlink r:id="rId109" w:history="1">
        <w:r w:rsidR="003E73F2" w:rsidRPr="007B57B3">
          <w:rPr>
            <w:rStyle w:val="Hyperlink"/>
            <w:rFonts w:eastAsia="Times New Roman" w:cs="Times New Roman"/>
            <w:iCs/>
            <w:spacing w:val="3"/>
            <w:szCs w:val="24"/>
          </w:rPr>
          <w:t>https://comptroller.tn.gov/content/dam/cot/orea/advanced-search/2023/OBF2023Update.pdf</w:t>
        </w:r>
      </w:hyperlink>
      <w:r w:rsidR="003E73F2" w:rsidRPr="007B57B3">
        <w:rPr>
          <w:rFonts w:eastAsia="Times New Roman" w:cs="Times New Roman"/>
          <w:i/>
          <w:color w:val="000000" w:themeColor="text1"/>
          <w:spacing w:val="3"/>
          <w:szCs w:val="24"/>
        </w:rPr>
        <w:t xml:space="preserve"> </w:t>
      </w:r>
    </w:p>
    <w:p w14:paraId="50386F3C" w14:textId="537B5867" w:rsidR="006A6A40" w:rsidRPr="00796A56" w:rsidRDefault="006A6A40" w:rsidP="006A6A40">
      <w:pPr>
        <w:ind w:left="720" w:hanging="720"/>
        <w:rPr>
          <w:rFonts w:eastAsia="Times New Roman" w:cs="Times New Roman"/>
          <w:color w:val="000000" w:themeColor="text1"/>
          <w:spacing w:val="3"/>
          <w:szCs w:val="24"/>
        </w:rPr>
      </w:pPr>
      <w:r w:rsidRPr="00796A56">
        <w:rPr>
          <w:rFonts w:eastAsia="Times New Roman" w:cs="Times New Roman"/>
          <w:color w:val="000000" w:themeColor="text1"/>
          <w:spacing w:val="3"/>
          <w:szCs w:val="24"/>
        </w:rPr>
        <w:lastRenderedPageBreak/>
        <w:t>Tennessee Department of Education. (n.d.</w:t>
      </w:r>
      <w:r w:rsidR="00DC3FDA" w:rsidRPr="00796A56">
        <w:rPr>
          <w:rFonts w:eastAsia="Times New Roman" w:cs="Times New Roman"/>
          <w:color w:val="000000" w:themeColor="text1"/>
          <w:spacing w:val="3"/>
          <w:szCs w:val="24"/>
        </w:rPr>
        <w:t>-a</w:t>
      </w:r>
      <w:r w:rsidRPr="00796A56">
        <w:rPr>
          <w:rFonts w:eastAsia="Times New Roman" w:cs="Times New Roman"/>
          <w:color w:val="000000" w:themeColor="text1"/>
          <w:spacing w:val="3"/>
          <w:szCs w:val="24"/>
        </w:rPr>
        <w:t xml:space="preserve">). </w:t>
      </w:r>
      <w:r w:rsidRPr="00796A56">
        <w:rPr>
          <w:rFonts w:eastAsia="Times New Roman" w:cs="Times New Roman"/>
          <w:i/>
          <w:iCs/>
          <w:color w:val="000000" w:themeColor="text1"/>
          <w:spacing w:val="3"/>
          <w:szCs w:val="24"/>
        </w:rPr>
        <w:t>Cambridge international.</w:t>
      </w:r>
      <w:r w:rsidRPr="00796A56">
        <w:rPr>
          <w:rFonts w:eastAsia="Times New Roman" w:cs="Times New Roman"/>
          <w:color w:val="000000" w:themeColor="text1"/>
          <w:spacing w:val="3"/>
          <w:szCs w:val="24"/>
        </w:rPr>
        <w:t xml:space="preserve"> </w:t>
      </w:r>
      <w:bookmarkStart w:id="110" w:name="_Hlk208932645"/>
      <w:r w:rsidR="00796A56" w:rsidRPr="00796A56">
        <w:rPr>
          <w:rFonts w:eastAsia="Times New Roman" w:cs="Times New Roman"/>
          <w:color w:val="000000" w:themeColor="text1"/>
          <w:spacing w:val="3"/>
          <w:szCs w:val="24"/>
        </w:rPr>
        <w:t xml:space="preserve">Retrieved June 1, 2025, from </w:t>
      </w:r>
      <w:bookmarkEnd w:id="110"/>
      <w:r w:rsidR="00796A56" w:rsidRPr="00796A56">
        <w:rPr>
          <w:rFonts w:eastAsia="Times New Roman" w:cs="Times New Roman"/>
          <w:spacing w:val="3"/>
          <w:szCs w:val="24"/>
        </w:rPr>
        <w:fldChar w:fldCharType="begin"/>
      </w:r>
      <w:r w:rsidR="00796A56" w:rsidRPr="00796A56">
        <w:rPr>
          <w:rFonts w:eastAsia="Times New Roman" w:cs="Times New Roman"/>
          <w:spacing w:val="3"/>
          <w:szCs w:val="24"/>
        </w:rPr>
        <w:instrText xml:space="preserve"> HYPERLINK "https://www.tn.gov/education/students/early-postsecondary/cambridge-international.html" </w:instrText>
      </w:r>
      <w:r w:rsidR="00796A56" w:rsidRPr="00796A56">
        <w:rPr>
          <w:rFonts w:eastAsia="Times New Roman" w:cs="Times New Roman"/>
          <w:spacing w:val="3"/>
          <w:szCs w:val="24"/>
        </w:rPr>
        <w:fldChar w:fldCharType="separate"/>
      </w:r>
      <w:r w:rsidR="00796A56" w:rsidRPr="00796A56">
        <w:rPr>
          <w:rStyle w:val="Hyperlink"/>
          <w:rFonts w:eastAsia="Times New Roman" w:cs="Times New Roman"/>
          <w:spacing w:val="3"/>
          <w:szCs w:val="24"/>
        </w:rPr>
        <w:t>https://www.tn.gov/education/students/early-postsecondary/cambridge-international.html</w:t>
      </w:r>
      <w:r w:rsidR="00796A56" w:rsidRPr="00796A56">
        <w:rPr>
          <w:rFonts w:eastAsia="Times New Roman" w:cs="Times New Roman"/>
          <w:spacing w:val="3"/>
          <w:szCs w:val="24"/>
        </w:rPr>
        <w:fldChar w:fldCharType="end"/>
      </w:r>
    </w:p>
    <w:p w14:paraId="65383383" w14:textId="594B8439" w:rsidR="00AA65E0" w:rsidRPr="004849E8" w:rsidRDefault="00AA65E0" w:rsidP="006A6A40">
      <w:pPr>
        <w:ind w:left="720" w:hanging="720"/>
        <w:rPr>
          <w:rFonts w:eastAsia="Times New Roman" w:cs="Times New Roman"/>
          <w:color w:val="000000" w:themeColor="text1"/>
          <w:spacing w:val="3"/>
          <w:szCs w:val="24"/>
        </w:rPr>
      </w:pPr>
      <w:r w:rsidRPr="004849E8">
        <w:rPr>
          <w:rFonts w:eastAsia="Times New Roman" w:cs="Times New Roman"/>
          <w:color w:val="000000" w:themeColor="text1"/>
          <w:spacing w:val="3"/>
          <w:szCs w:val="24"/>
        </w:rPr>
        <w:t>Tennessee Department of Education. (n.d.-b).</w:t>
      </w:r>
      <w:r w:rsidR="00C73AEC" w:rsidRPr="004849E8">
        <w:rPr>
          <w:rFonts w:eastAsia="Times New Roman" w:cs="Times New Roman"/>
          <w:color w:val="000000" w:themeColor="text1"/>
          <w:spacing w:val="3"/>
          <w:szCs w:val="24"/>
        </w:rPr>
        <w:t xml:space="preserve"> </w:t>
      </w:r>
      <w:r w:rsidR="00C73AEC" w:rsidRPr="004849E8">
        <w:rPr>
          <w:rFonts w:eastAsia="Times New Roman" w:cs="Times New Roman"/>
          <w:i/>
          <w:iCs/>
          <w:color w:val="000000" w:themeColor="text1"/>
          <w:spacing w:val="3"/>
          <w:szCs w:val="24"/>
        </w:rPr>
        <w:t>Dual enrollment</w:t>
      </w:r>
      <w:r w:rsidR="00C73AEC" w:rsidRPr="004849E8">
        <w:rPr>
          <w:rFonts w:eastAsia="Times New Roman" w:cs="Times New Roman"/>
          <w:color w:val="000000" w:themeColor="text1"/>
          <w:spacing w:val="3"/>
          <w:szCs w:val="24"/>
        </w:rPr>
        <w:t xml:space="preserve">. </w:t>
      </w:r>
      <w:r w:rsidR="004849E8" w:rsidRPr="004849E8">
        <w:rPr>
          <w:rFonts w:eastAsia="Times New Roman" w:cs="Times New Roman"/>
          <w:color w:val="000000" w:themeColor="text1"/>
          <w:spacing w:val="3"/>
          <w:szCs w:val="24"/>
        </w:rPr>
        <w:t>Retrieved March 1, 2023, fro</w:t>
      </w:r>
      <w:r w:rsidR="008F5950">
        <w:rPr>
          <w:rFonts w:eastAsia="Times New Roman" w:cs="Times New Roman"/>
          <w:color w:val="000000" w:themeColor="text1"/>
          <w:spacing w:val="3"/>
          <w:szCs w:val="24"/>
        </w:rPr>
        <w:t>m</w:t>
      </w:r>
      <w:r w:rsidR="004849E8" w:rsidRPr="004849E8">
        <w:rPr>
          <w:rFonts w:eastAsia="Times New Roman" w:cs="Times New Roman"/>
          <w:color w:val="000000" w:themeColor="text1"/>
          <w:spacing w:val="3"/>
          <w:szCs w:val="24"/>
        </w:rPr>
        <w:t xml:space="preserve"> </w:t>
      </w:r>
      <w:hyperlink r:id="rId110" w:history="1">
        <w:r w:rsidR="004849E8" w:rsidRPr="004849E8">
          <w:rPr>
            <w:rStyle w:val="Hyperlink"/>
            <w:rFonts w:eastAsia="Times New Roman" w:cs="Times New Roman"/>
            <w:spacing w:val="3"/>
            <w:szCs w:val="24"/>
          </w:rPr>
          <w:t>https://www.tn.gov/education/students/early-postsecondary/dual-enrollment.html</w:t>
        </w:r>
      </w:hyperlink>
      <w:r w:rsidR="00C73AEC" w:rsidRPr="004849E8">
        <w:rPr>
          <w:rFonts w:eastAsia="Times New Roman" w:cs="Times New Roman"/>
          <w:color w:val="000000" w:themeColor="text1"/>
          <w:spacing w:val="3"/>
          <w:szCs w:val="24"/>
        </w:rPr>
        <w:t xml:space="preserve"> </w:t>
      </w:r>
    </w:p>
    <w:p w14:paraId="53D3CBEA" w14:textId="3320554E" w:rsidR="00D74B09" w:rsidRPr="00831B8A" w:rsidRDefault="00D74B09" w:rsidP="006A6A40">
      <w:pPr>
        <w:ind w:left="720" w:hanging="720"/>
        <w:rPr>
          <w:rFonts w:eastAsia="Times New Roman" w:cs="Times New Roman"/>
          <w:color w:val="000000" w:themeColor="text1"/>
          <w:spacing w:val="3"/>
          <w:szCs w:val="24"/>
        </w:rPr>
      </w:pPr>
      <w:r w:rsidRPr="00831B8A">
        <w:rPr>
          <w:rFonts w:eastAsia="Times New Roman" w:cs="Times New Roman"/>
          <w:color w:val="000000" w:themeColor="text1"/>
          <w:spacing w:val="3"/>
          <w:szCs w:val="24"/>
        </w:rPr>
        <w:t>Tennessee Department of Education. (n.d.</w:t>
      </w:r>
      <w:r w:rsidR="00DC3FDA" w:rsidRPr="00831B8A">
        <w:rPr>
          <w:rFonts w:eastAsia="Times New Roman" w:cs="Times New Roman"/>
          <w:color w:val="000000" w:themeColor="text1"/>
          <w:spacing w:val="3"/>
          <w:szCs w:val="24"/>
        </w:rPr>
        <w:t>-</w:t>
      </w:r>
      <w:r w:rsidR="00AA65E0" w:rsidRPr="00831B8A">
        <w:rPr>
          <w:rFonts w:eastAsia="Times New Roman" w:cs="Times New Roman"/>
          <w:color w:val="000000" w:themeColor="text1"/>
          <w:spacing w:val="3"/>
          <w:szCs w:val="24"/>
        </w:rPr>
        <w:t>c</w:t>
      </w:r>
      <w:r w:rsidRPr="00831B8A">
        <w:rPr>
          <w:rFonts w:eastAsia="Times New Roman" w:cs="Times New Roman"/>
          <w:color w:val="000000" w:themeColor="text1"/>
          <w:spacing w:val="3"/>
          <w:szCs w:val="24"/>
        </w:rPr>
        <w:t xml:space="preserve">). </w:t>
      </w:r>
      <w:r w:rsidRPr="00831B8A">
        <w:rPr>
          <w:rFonts w:eastAsia="Times New Roman" w:cs="Times New Roman"/>
          <w:i/>
          <w:color w:val="000000" w:themeColor="text1"/>
          <w:spacing w:val="3"/>
          <w:szCs w:val="24"/>
        </w:rPr>
        <w:t>Early postsecondary opportunities</w:t>
      </w:r>
      <w:r w:rsidRPr="00831B8A">
        <w:rPr>
          <w:rFonts w:eastAsia="Times New Roman" w:cs="Times New Roman"/>
          <w:color w:val="000000" w:themeColor="text1"/>
          <w:spacing w:val="3"/>
          <w:szCs w:val="24"/>
        </w:rPr>
        <w:t xml:space="preserve">. </w:t>
      </w:r>
      <w:r w:rsidR="00831B8A" w:rsidRPr="00831B8A">
        <w:rPr>
          <w:rFonts w:eastAsia="Times New Roman" w:cs="Times New Roman"/>
          <w:color w:val="000000" w:themeColor="text1"/>
          <w:spacing w:val="3"/>
          <w:szCs w:val="24"/>
        </w:rPr>
        <w:t xml:space="preserve">Retrieved March 3, 2024, from </w:t>
      </w:r>
      <w:hyperlink r:id="rId111" w:history="1">
        <w:r w:rsidR="00831B8A" w:rsidRPr="00831B8A">
          <w:rPr>
            <w:rStyle w:val="Hyperlink"/>
            <w:rFonts w:eastAsia="Times New Roman" w:cs="Times New Roman"/>
            <w:spacing w:val="3"/>
            <w:szCs w:val="24"/>
          </w:rPr>
          <w:t>https://www.tn.gov/education/students/early-postsecondary.html</w:t>
        </w:r>
      </w:hyperlink>
      <w:r w:rsidRPr="00831B8A">
        <w:rPr>
          <w:rFonts w:eastAsia="Times New Roman" w:cs="Times New Roman"/>
          <w:color w:val="000000" w:themeColor="text1"/>
          <w:spacing w:val="3"/>
          <w:szCs w:val="24"/>
        </w:rPr>
        <w:t xml:space="preserve"> </w:t>
      </w:r>
    </w:p>
    <w:p w14:paraId="201024A5" w14:textId="468DDCBA" w:rsidR="006A6A40" w:rsidRPr="007B57B3" w:rsidRDefault="006A6A40" w:rsidP="006A6A40">
      <w:pPr>
        <w:ind w:left="720" w:hanging="720"/>
        <w:rPr>
          <w:rFonts w:eastAsia="Times New Roman" w:cs="Times New Roman"/>
          <w:color w:val="000000" w:themeColor="text1"/>
          <w:spacing w:val="3"/>
          <w:szCs w:val="24"/>
        </w:rPr>
      </w:pPr>
      <w:r w:rsidRPr="007B57B3">
        <w:rPr>
          <w:rFonts w:eastAsia="Times New Roman" w:cs="Times New Roman"/>
          <w:color w:val="000000" w:themeColor="text1"/>
          <w:spacing w:val="3"/>
          <w:szCs w:val="24"/>
        </w:rPr>
        <w:t>Tennessee Department of Education. (n.d.</w:t>
      </w:r>
      <w:r w:rsidR="00DC3FDA" w:rsidRPr="007B57B3">
        <w:rPr>
          <w:rFonts w:eastAsia="Times New Roman" w:cs="Times New Roman"/>
          <w:color w:val="000000" w:themeColor="text1"/>
          <w:spacing w:val="3"/>
          <w:szCs w:val="24"/>
        </w:rPr>
        <w:t>-</w:t>
      </w:r>
      <w:r w:rsidR="00AA65E0" w:rsidRPr="007B57B3">
        <w:rPr>
          <w:rFonts w:eastAsia="Times New Roman" w:cs="Times New Roman"/>
          <w:color w:val="000000" w:themeColor="text1"/>
          <w:spacing w:val="3"/>
          <w:szCs w:val="24"/>
        </w:rPr>
        <w:t>d</w:t>
      </w:r>
      <w:r w:rsidRPr="007B57B3">
        <w:rPr>
          <w:rFonts w:eastAsia="Times New Roman" w:cs="Times New Roman"/>
          <w:color w:val="000000" w:themeColor="text1"/>
          <w:spacing w:val="3"/>
          <w:szCs w:val="24"/>
        </w:rPr>
        <w:t xml:space="preserve">). </w:t>
      </w:r>
      <w:r w:rsidRPr="007B57B3">
        <w:rPr>
          <w:rFonts w:eastAsia="Times New Roman" w:cs="Times New Roman"/>
          <w:i/>
          <w:color w:val="000000" w:themeColor="text1"/>
          <w:spacing w:val="3"/>
          <w:szCs w:val="24"/>
        </w:rPr>
        <w:t>Early postsecondary opportunities in Tennessee</w:t>
      </w:r>
      <w:r w:rsidRPr="007B57B3">
        <w:rPr>
          <w:rFonts w:eastAsia="Times New Roman" w:cs="Times New Roman"/>
          <w:color w:val="000000" w:themeColor="text1"/>
          <w:spacing w:val="3"/>
          <w:szCs w:val="24"/>
        </w:rPr>
        <w:t>.</w:t>
      </w:r>
      <w:r w:rsidR="00796A56">
        <w:rPr>
          <w:rFonts w:eastAsia="Times New Roman" w:cs="Times New Roman"/>
          <w:color w:val="000000" w:themeColor="text1"/>
          <w:spacing w:val="3"/>
          <w:szCs w:val="24"/>
        </w:rPr>
        <w:t xml:space="preserve"> </w:t>
      </w:r>
      <w:hyperlink r:id="rId112" w:history="1">
        <w:r w:rsidR="00796A56" w:rsidRPr="00026F15">
          <w:rPr>
            <w:rStyle w:val="Hyperlink"/>
            <w:rFonts w:eastAsia="Times New Roman" w:cs="Times New Roman"/>
            <w:spacing w:val="3"/>
            <w:szCs w:val="24"/>
          </w:rPr>
          <w:t>https://www.tn.gov/content/dam/tn/education/ccte/eps/epso_opportunities_poster_web.pdf</w:t>
        </w:r>
      </w:hyperlink>
    </w:p>
    <w:p w14:paraId="0EDD844F" w14:textId="0428D829" w:rsidR="00E832A1" w:rsidRPr="00796A56" w:rsidRDefault="00E832A1" w:rsidP="00E832A1">
      <w:pPr>
        <w:ind w:left="720" w:hanging="720"/>
        <w:rPr>
          <w:rFonts w:eastAsia="Times New Roman" w:cs="Times New Roman"/>
          <w:color w:val="000000" w:themeColor="text1"/>
          <w:spacing w:val="3"/>
          <w:szCs w:val="24"/>
        </w:rPr>
      </w:pPr>
      <w:r w:rsidRPr="00796A56">
        <w:rPr>
          <w:rFonts w:eastAsia="Times New Roman" w:cs="Times New Roman"/>
          <w:color w:val="000000" w:themeColor="text1"/>
          <w:spacing w:val="3"/>
          <w:szCs w:val="24"/>
        </w:rPr>
        <w:t>Tennessee Department of Education. (n.d.</w:t>
      </w:r>
      <w:r w:rsidR="00DC3FDA" w:rsidRPr="00796A56">
        <w:rPr>
          <w:rFonts w:eastAsia="Times New Roman" w:cs="Times New Roman"/>
          <w:color w:val="000000" w:themeColor="text1"/>
          <w:spacing w:val="3"/>
          <w:szCs w:val="24"/>
        </w:rPr>
        <w:t>-</w:t>
      </w:r>
      <w:r w:rsidR="00AA65E0" w:rsidRPr="00796A56">
        <w:rPr>
          <w:rFonts w:eastAsia="Times New Roman" w:cs="Times New Roman"/>
          <w:color w:val="000000" w:themeColor="text1"/>
          <w:spacing w:val="3"/>
          <w:szCs w:val="24"/>
        </w:rPr>
        <w:t>e</w:t>
      </w:r>
      <w:r w:rsidRPr="00796A56">
        <w:rPr>
          <w:rFonts w:eastAsia="Times New Roman" w:cs="Times New Roman"/>
          <w:color w:val="000000" w:themeColor="text1"/>
          <w:spacing w:val="3"/>
          <w:szCs w:val="24"/>
        </w:rPr>
        <w:t xml:space="preserve">) </w:t>
      </w:r>
      <w:r w:rsidRPr="00796A56">
        <w:rPr>
          <w:rFonts w:eastAsia="Times New Roman" w:cs="Times New Roman"/>
          <w:i/>
          <w:iCs/>
          <w:color w:val="000000" w:themeColor="text1"/>
          <w:spacing w:val="3"/>
          <w:szCs w:val="24"/>
        </w:rPr>
        <w:t>International baccalaureate</w:t>
      </w:r>
      <w:r w:rsidRPr="00796A56">
        <w:rPr>
          <w:rFonts w:eastAsia="Times New Roman" w:cs="Times New Roman"/>
          <w:color w:val="000000" w:themeColor="text1"/>
          <w:spacing w:val="3"/>
          <w:szCs w:val="24"/>
        </w:rPr>
        <w:t>.</w:t>
      </w:r>
      <w:r w:rsidR="00796A56" w:rsidRPr="00796A56">
        <w:rPr>
          <w:rFonts w:eastAsia="Times New Roman" w:cs="Times New Roman"/>
          <w:color w:val="000000" w:themeColor="text1"/>
          <w:spacing w:val="3"/>
          <w:szCs w:val="24"/>
        </w:rPr>
        <w:t xml:space="preserve"> </w:t>
      </w:r>
      <w:r w:rsidRPr="00796A56">
        <w:rPr>
          <w:rFonts w:eastAsia="Times New Roman" w:cs="Times New Roman"/>
          <w:color w:val="000000" w:themeColor="text1"/>
          <w:spacing w:val="3"/>
          <w:szCs w:val="24"/>
        </w:rPr>
        <w:t xml:space="preserve"> </w:t>
      </w:r>
      <w:r w:rsidR="00796A56" w:rsidRPr="00796A56">
        <w:rPr>
          <w:rFonts w:eastAsia="Times New Roman" w:cs="Times New Roman"/>
          <w:color w:val="000000" w:themeColor="text1"/>
          <w:spacing w:val="3"/>
          <w:szCs w:val="24"/>
        </w:rPr>
        <w:t xml:space="preserve">Retrieved June 1, 2025, from </w:t>
      </w:r>
      <w:hyperlink r:id="rId113" w:history="1">
        <w:r w:rsidRPr="00796A56">
          <w:rPr>
            <w:rStyle w:val="Hyperlink"/>
            <w:rFonts w:eastAsia="Times New Roman" w:cs="Times New Roman"/>
            <w:spacing w:val="3"/>
            <w:szCs w:val="24"/>
          </w:rPr>
          <w:t>https://www.tn.gov/education/students/early-postsecondary/international-baccalaureate.html</w:t>
        </w:r>
      </w:hyperlink>
      <w:r w:rsidRPr="00796A56">
        <w:rPr>
          <w:rFonts w:eastAsia="Times New Roman" w:cs="Times New Roman"/>
          <w:color w:val="000000" w:themeColor="text1"/>
          <w:spacing w:val="3"/>
          <w:szCs w:val="24"/>
        </w:rPr>
        <w:t xml:space="preserve"> </w:t>
      </w:r>
    </w:p>
    <w:p w14:paraId="4D49EE72" w14:textId="4315EC43" w:rsidR="00E832A1" w:rsidRPr="00796A56" w:rsidRDefault="00E832A1" w:rsidP="00E832A1">
      <w:pPr>
        <w:ind w:left="720" w:hanging="720"/>
        <w:rPr>
          <w:rFonts w:eastAsia="Times New Roman" w:cs="Times New Roman"/>
          <w:color w:val="000000" w:themeColor="text1"/>
          <w:spacing w:val="3"/>
          <w:szCs w:val="24"/>
        </w:rPr>
      </w:pPr>
      <w:r w:rsidRPr="00796A56">
        <w:rPr>
          <w:rFonts w:eastAsia="Times New Roman" w:cs="Times New Roman"/>
          <w:color w:val="000000" w:themeColor="text1"/>
          <w:spacing w:val="3"/>
          <w:szCs w:val="24"/>
        </w:rPr>
        <w:t>Tennessee Department of Education. (n.d.</w:t>
      </w:r>
      <w:r w:rsidR="00DC3FDA" w:rsidRPr="00796A56">
        <w:rPr>
          <w:rFonts w:eastAsia="Times New Roman" w:cs="Times New Roman"/>
          <w:color w:val="000000" w:themeColor="text1"/>
          <w:spacing w:val="3"/>
          <w:szCs w:val="24"/>
        </w:rPr>
        <w:t>-</w:t>
      </w:r>
      <w:r w:rsidR="00AA65E0" w:rsidRPr="00796A56">
        <w:rPr>
          <w:rFonts w:eastAsia="Times New Roman" w:cs="Times New Roman"/>
          <w:color w:val="000000" w:themeColor="text1"/>
          <w:spacing w:val="3"/>
          <w:szCs w:val="24"/>
        </w:rPr>
        <w:t>f</w:t>
      </w:r>
      <w:r w:rsidRPr="00796A56">
        <w:rPr>
          <w:rFonts w:eastAsia="Times New Roman" w:cs="Times New Roman"/>
          <w:color w:val="000000" w:themeColor="text1"/>
          <w:spacing w:val="3"/>
          <w:szCs w:val="24"/>
        </w:rPr>
        <w:t xml:space="preserve">). </w:t>
      </w:r>
      <w:r w:rsidRPr="00796A56">
        <w:rPr>
          <w:rFonts w:eastAsia="Times New Roman" w:cs="Times New Roman"/>
          <w:i/>
          <w:iCs/>
          <w:color w:val="000000" w:themeColor="text1"/>
          <w:spacing w:val="3"/>
          <w:szCs w:val="24"/>
        </w:rPr>
        <w:t>Local dual credit</w:t>
      </w:r>
      <w:r w:rsidRPr="00796A56">
        <w:rPr>
          <w:rFonts w:eastAsia="Times New Roman" w:cs="Times New Roman"/>
          <w:color w:val="000000" w:themeColor="text1"/>
          <w:spacing w:val="3"/>
          <w:szCs w:val="24"/>
        </w:rPr>
        <w:t xml:space="preserve">. </w:t>
      </w:r>
      <w:r w:rsidR="00796A56" w:rsidRPr="00796A56">
        <w:rPr>
          <w:rFonts w:eastAsia="Times New Roman" w:cs="Times New Roman"/>
          <w:color w:val="000000" w:themeColor="text1"/>
          <w:spacing w:val="3"/>
          <w:szCs w:val="24"/>
        </w:rPr>
        <w:t xml:space="preserve">Retrieved June 1, 2025, from </w:t>
      </w:r>
      <w:hyperlink r:id="rId114" w:history="1">
        <w:r w:rsidRPr="00796A56">
          <w:rPr>
            <w:rStyle w:val="Hyperlink"/>
            <w:rFonts w:eastAsia="Times New Roman" w:cs="Times New Roman"/>
            <w:spacing w:val="3"/>
            <w:szCs w:val="24"/>
          </w:rPr>
          <w:t>https://www.tn.gov/education/students/early-postsecondary/local-dual-credit.html</w:t>
        </w:r>
      </w:hyperlink>
      <w:r w:rsidRPr="00796A56">
        <w:rPr>
          <w:rFonts w:eastAsia="Times New Roman" w:cs="Times New Roman"/>
          <w:color w:val="000000" w:themeColor="text1"/>
          <w:spacing w:val="3"/>
          <w:szCs w:val="24"/>
        </w:rPr>
        <w:t xml:space="preserve"> </w:t>
      </w:r>
    </w:p>
    <w:p w14:paraId="5000CC9D" w14:textId="0636C1F8" w:rsidR="008618BC" w:rsidRPr="00796A56" w:rsidRDefault="008618BC" w:rsidP="008618BC">
      <w:pPr>
        <w:ind w:left="720" w:hanging="720"/>
        <w:rPr>
          <w:rFonts w:eastAsia="Times New Roman" w:cs="Times New Roman"/>
          <w:color w:val="000000" w:themeColor="text1"/>
          <w:spacing w:val="3"/>
          <w:szCs w:val="24"/>
        </w:rPr>
      </w:pPr>
      <w:r w:rsidRPr="00796A56">
        <w:rPr>
          <w:rFonts w:eastAsia="Times New Roman" w:cs="Times New Roman"/>
          <w:color w:val="000000" w:themeColor="text1"/>
          <w:spacing w:val="3"/>
          <w:szCs w:val="24"/>
        </w:rPr>
        <w:t>Tennessee Department of Education. (n.d.</w:t>
      </w:r>
      <w:r w:rsidR="00DC3FDA" w:rsidRPr="00796A56">
        <w:rPr>
          <w:rFonts w:eastAsia="Times New Roman" w:cs="Times New Roman"/>
          <w:color w:val="000000" w:themeColor="text1"/>
          <w:spacing w:val="3"/>
          <w:szCs w:val="24"/>
        </w:rPr>
        <w:t>-</w:t>
      </w:r>
      <w:r w:rsidR="00AA65E0" w:rsidRPr="00796A56">
        <w:rPr>
          <w:rFonts w:eastAsia="Times New Roman" w:cs="Times New Roman"/>
          <w:color w:val="000000" w:themeColor="text1"/>
          <w:spacing w:val="3"/>
          <w:szCs w:val="24"/>
        </w:rPr>
        <w:t>g</w:t>
      </w:r>
      <w:r w:rsidRPr="00796A56">
        <w:rPr>
          <w:rFonts w:eastAsia="Times New Roman" w:cs="Times New Roman"/>
          <w:color w:val="000000" w:themeColor="text1"/>
          <w:spacing w:val="3"/>
          <w:szCs w:val="24"/>
        </w:rPr>
        <w:t xml:space="preserve">). </w:t>
      </w:r>
      <w:r w:rsidRPr="00796A56">
        <w:rPr>
          <w:rFonts w:eastAsia="Times New Roman" w:cs="Times New Roman"/>
          <w:i/>
          <w:iCs/>
          <w:color w:val="000000" w:themeColor="text1"/>
          <w:spacing w:val="3"/>
          <w:szCs w:val="24"/>
        </w:rPr>
        <w:t>Tennessee promoted student industry credentials</w:t>
      </w:r>
      <w:r w:rsidRPr="00796A56">
        <w:rPr>
          <w:rFonts w:eastAsia="Times New Roman" w:cs="Times New Roman"/>
          <w:color w:val="000000" w:themeColor="text1"/>
          <w:spacing w:val="3"/>
          <w:szCs w:val="24"/>
        </w:rPr>
        <w:t>.</w:t>
      </w:r>
      <w:r w:rsidR="00796A56" w:rsidRPr="00796A56">
        <w:rPr>
          <w:rFonts w:eastAsia="Times New Roman" w:cs="Times New Roman"/>
          <w:color w:val="000000" w:themeColor="text1"/>
          <w:spacing w:val="3"/>
          <w:szCs w:val="24"/>
        </w:rPr>
        <w:t xml:space="preserve"> Retrieved June 1, 2025, from </w:t>
      </w:r>
      <w:r w:rsidRPr="00796A56">
        <w:rPr>
          <w:rFonts w:eastAsia="Times New Roman" w:cs="Times New Roman"/>
          <w:color w:val="000000" w:themeColor="text1"/>
          <w:spacing w:val="3"/>
          <w:szCs w:val="24"/>
        </w:rPr>
        <w:t xml:space="preserve"> </w:t>
      </w:r>
      <w:hyperlink r:id="rId115" w:history="1">
        <w:r w:rsidRPr="00796A56">
          <w:rPr>
            <w:rStyle w:val="Hyperlink"/>
            <w:rFonts w:eastAsia="Times New Roman" w:cs="Times New Roman"/>
            <w:spacing w:val="3"/>
            <w:szCs w:val="24"/>
          </w:rPr>
          <w:t>https://www.tn.gov/education/educators/career-and-technical-education/student-industry-certification.html</w:t>
        </w:r>
      </w:hyperlink>
      <w:r w:rsidRPr="00796A56">
        <w:rPr>
          <w:rFonts w:eastAsia="Times New Roman" w:cs="Times New Roman"/>
          <w:color w:val="000000" w:themeColor="text1"/>
          <w:spacing w:val="3"/>
          <w:szCs w:val="24"/>
        </w:rPr>
        <w:t xml:space="preserve"> </w:t>
      </w:r>
    </w:p>
    <w:p w14:paraId="7AF62545" w14:textId="7DBBEC68" w:rsidR="008618BC" w:rsidRPr="00796A56" w:rsidRDefault="008618BC" w:rsidP="008618BC">
      <w:pPr>
        <w:ind w:left="720" w:hanging="720"/>
        <w:rPr>
          <w:rFonts w:eastAsia="Times New Roman" w:cs="Times New Roman"/>
          <w:color w:val="000000" w:themeColor="text1"/>
          <w:spacing w:val="3"/>
          <w:szCs w:val="24"/>
        </w:rPr>
      </w:pPr>
      <w:r w:rsidRPr="00796A56">
        <w:rPr>
          <w:rFonts w:eastAsia="Times New Roman" w:cs="Times New Roman"/>
          <w:color w:val="000000" w:themeColor="text1"/>
          <w:spacing w:val="3"/>
          <w:szCs w:val="24"/>
        </w:rPr>
        <w:t>Tennessee Department of Education. (n.d.</w:t>
      </w:r>
      <w:r w:rsidR="00DC3FDA" w:rsidRPr="00796A56">
        <w:rPr>
          <w:rFonts w:eastAsia="Times New Roman" w:cs="Times New Roman"/>
          <w:color w:val="000000" w:themeColor="text1"/>
          <w:spacing w:val="3"/>
          <w:szCs w:val="24"/>
        </w:rPr>
        <w:t>-</w:t>
      </w:r>
      <w:r w:rsidR="00AA65E0" w:rsidRPr="00796A56">
        <w:rPr>
          <w:rFonts w:eastAsia="Times New Roman" w:cs="Times New Roman"/>
          <w:color w:val="000000" w:themeColor="text1"/>
          <w:spacing w:val="3"/>
          <w:szCs w:val="24"/>
        </w:rPr>
        <w:t>h</w:t>
      </w:r>
      <w:r w:rsidRPr="00796A56">
        <w:rPr>
          <w:rFonts w:eastAsia="Times New Roman" w:cs="Times New Roman"/>
          <w:color w:val="000000" w:themeColor="text1"/>
          <w:spacing w:val="3"/>
          <w:szCs w:val="24"/>
        </w:rPr>
        <w:t xml:space="preserve">). </w:t>
      </w:r>
      <w:r w:rsidRPr="00796A56">
        <w:rPr>
          <w:rFonts w:eastAsia="Times New Roman" w:cs="Times New Roman"/>
          <w:i/>
          <w:iCs/>
          <w:color w:val="000000" w:themeColor="text1"/>
          <w:spacing w:val="3"/>
          <w:szCs w:val="24"/>
        </w:rPr>
        <w:t>Statewide dual credit</w:t>
      </w:r>
      <w:r w:rsidRPr="00796A56">
        <w:rPr>
          <w:rFonts w:eastAsia="Times New Roman" w:cs="Times New Roman"/>
          <w:color w:val="000000" w:themeColor="text1"/>
          <w:spacing w:val="3"/>
          <w:szCs w:val="24"/>
        </w:rPr>
        <w:t xml:space="preserve">. </w:t>
      </w:r>
      <w:r w:rsidR="00796A56" w:rsidRPr="00796A56">
        <w:rPr>
          <w:rFonts w:eastAsia="Times New Roman" w:cs="Times New Roman"/>
          <w:color w:val="000000" w:themeColor="text1"/>
          <w:spacing w:val="3"/>
          <w:szCs w:val="24"/>
        </w:rPr>
        <w:t xml:space="preserve">Retrieved June 1, 2025, from </w:t>
      </w:r>
      <w:hyperlink r:id="rId116" w:history="1">
        <w:r w:rsidRPr="00796A56">
          <w:rPr>
            <w:rStyle w:val="Hyperlink"/>
            <w:rFonts w:eastAsia="Times New Roman" w:cs="Times New Roman"/>
            <w:spacing w:val="3"/>
            <w:szCs w:val="24"/>
          </w:rPr>
          <w:t>https://www.tn.gov/education/students/early-postsecondary/dual-credit.html</w:t>
        </w:r>
      </w:hyperlink>
      <w:r w:rsidRPr="00796A56">
        <w:rPr>
          <w:rFonts w:eastAsia="Times New Roman" w:cs="Times New Roman"/>
          <w:color w:val="000000" w:themeColor="text1"/>
          <w:spacing w:val="3"/>
          <w:szCs w:val="24"/>
        </w:rPr>
        <w:t xml:space="preserve"> </w:t>
      </w:r>
    </w:p>
    <w:p w14:paraId="348AC5BC" w14:textId="6CAD6AB9" w:rsidR="006552EA" w:rsidRPr="007B57B3" w:rsidRDefault="00483435" w:rsidP="00F1213F">
      <w:pPr>
        <w:ind w:left="720" w:hanging="720"/>
        <w:rPr>
          <w:rFonts w:eastAsia="Times New Roman" w:cs="Times New Roman"/>
          <w:color w:val="000000" w:themeColor="text1"/>
          <w:spacing w:val="3"/>
          <w:szCs w:val="24"/>
        </w:rPr>
      </w:pPr>
      <w:r w:rsidRPr="007B57B3">
        <w:rPr>
          <w:rFonts w:eastAsia="Times New Roman" w:cs="Times New Roman"/>
          <w:color w:val="000000" w:themeColor="text1"/>
          <w:spacing w:val="3"/>
          <w:szCs w:val="24"/>
        </w:rPr>
        <w:lastRenderedPageBreak/>
        <w:t xml:space="preserve">Tennessee Department of Education. (n.d.-i). </w:t>
      </w:r>
      <w:r w:rsidRPr="007B57B3">
        <w:rPr>
          <w:rFonts w:eastAsia="Times New Roman" w:cs="Times New Roman"/>
          <w:i/>
          <w:iCs/>
          <w:color w:val="000000" w:themeColor="text1"/>
          <w:spacing w:val="3"/>
          <w:szCs w:val="24"/>
        </w:rPr>
        <w:t>Statewide dual credit</w:t>
      </w:r>
      <w:r w:rsidRPr="007B57B3">
        <w:rPr>
          <w:rFonts w:eastAsia="Times New Roman" w:cs="Times New Roman"/>
          <w:color w:val="000000" w:themeColor="text1"/>
          <w:spacing w:val="3"/>
          <w:szCs w:val="24"/>
        </w:rPr>
        <w:t xml:space="preserve"> phase-out frequently asked questions</w:t>
      </w:r>
      <w:r w:rsidRPr="00796A56">
        <w:rPr>
          <w:rFonts w:eastAsia="Times New Roman" w:cs="Times New Roman"/>
          <w:color w:val="000000" w:themeColor="text1"/>
          <w:spacing w:val="3"/>
          <w:szCs w:val="24"/>
        </w:rPr>
        <w:t xml:space="preserve">. </w:t>
      </w:r>
      <w:hyperlink r:id="rId117" w:history="1">
        <w:r w:rsidR="00796A56" w:rsidRPr="00026F15">
          <w:rPr>
            <w:rStyle w:val="Hyperlink"/>
            <w:rFonts w:eastAsia="Times New Roman" w:cs="Times New Roman"/>
            <w:spacing w:val="3"/>
            <w:szCs w:val="24"/>
          </w:rPr>
          <w:t>https://www.tn.gov/content/dam/tn/education/ccte/SDC_Phase-Out_FAQ_FINAL.pdf</w:t>
        </w:r>
      </w:hyperlink>
      <w:r w:rsidRPr="007B57B3">
        <w:rPr>
          <w:rFonts w:eastAsia="Times New Roman" w:cs="Times New Roman"/>
          <w:color w:val="000000" w:themeColor="text1"/>
          <w:spacing w:val="3"/>
          <w:szCs w:val="24"/>
        </w:rPr>
        <w:t xml:space="preserve"> </w:t>
      </w:r>
    </w:p>
    <w:p w14:paraId="13E219F0" w14:textId="53E43C3C" w:rsidR="004D4722" w:rsidRPr="00F1213F" w:rsidRDefault="007A2C70" w:rsidP="00F1213F">
      <w:pPr>
        <w:ind w:left="720" w:hanging="720"/>
        <w:rPr>
          <w:rFonts w:eastAsia="Times New Roman" w:cs="Times New Roman"/>
          <w:szCs w:val="24"/>
        </w:rPr>
      </w:pPr>
      <w:r w:rsidRPr="007B57B3">
        <w:rPr>
          <w:rFonts w:eastAsia="Times New Roman" w:cs="Times New Roman"/>
          <w:szCs w:val="24"/>
        </w:rPr>
        <w:t>Tennessee Department of Education. (2021</w:t>
      </w:r>
      <w:r w:rsidR="006552EA" w:rsidRPr="007B57B3">
        <w:rPr>
          <w:rFonts w:eastAsia="Times New Roman" w:cs="Times New Roman"/>
          <w:szCs w:val="24"/>
        </w:rPr>
        <w:t>a</w:t>
      </w:r>
      <w:r w:rsidRPr="007B57B3">
        <w:rPr>
          <w:rFonts w:eastAsia="Times New Roman" w:cs="Times New Roman"/>
          <w:szCs w:val="24"/>
        </w:rPr>
        <w:t xml:space="preserve">). </w:t>
      </w:r>
      <w:r w:rsidRPr="007B57B3">
        <w:rPr>
          <w:rFonts w:eastAsia="Times New Roman" w:cs="Times New Roman"/>
          <w:i/>
          <w:szCs w:val="24"/>
        </w:rPr>
        <w:t xml:space="preserve">Ready graduate indicator overview. </w:t>
      </w:r>
      <w:hyperlink r:id="rId118" w:history="1">
        <w:r w:rsidRPr="007B57B3">
          <w:rPr>
            <w:rFonts w:eastAsia="Times New Roman" w:cs="Times New Roman"/>
            <w:color w:val="0563C1" w:themeColor="hyperlink"/>
            <w:szCs w:val="24"/>
            <w:u w:val="single"/>
          </w:rPr>
          <w:t>https://www.tn.gov/content/dam/tn/education/ccte/ccte_ready_graduate_overview_2018-19.pdf</w:t>
        </w:r>
      </w:hyperlink>
    </w:p>
    <w:p w14:paraId="3AB7AFA1" w14:textId="409D16EC" w:rsidR="00F1213F" w:rsidRPr="000A74B3" w:rsidRDefault="006552EA" w:rsidP="000A74B3">
      <w:pPr>
        <w:ind w:left="720" w:hanging="720"/>
        <w:rPr>
          <w:rFonts w:eastAsia="Times New Roman" w:cs="Times New Roman"/>
          <w:color w:val="000000" w:themeColor="text1"/>
          <w:spacing w:val="3"/>
          <w:szCs w:val="24"/>
        </w:rPr>
      </w:pPr>
      <w:r w:rsidRPr="007B57B3">
        <w:rPr>
          <w:rFonts w:eastAsia="Times New Roman" w:cs="Times New Roman"/>
          <w:color w:val="000000" w:themeColor="text1"/>
          <w:spacing w:val="3"/>
          <w:szCs w:val="24"/>
        </w:rPr>
        <w:t xml:space="preserve">Tennessee Department of Education. (2021b). </w:t>
      </w:r>
      <w:r w:rsidRPr="007B57B3">
        <w:rPr>
          <w:rFonts w:eastAsia="Times New Roman" w:cs="Times New Roman"/>
          <w:i/>
          <w:iCs/>
          <w:color w:val="000000" w:themeColor="text1"/>
          <w:spacing w:val="3"/>
          <w:szCs w:val="24"/>
        </w:rPr>
        <w:t>2020-2021 Ready</w:t>
      </w:r>
      <w:r w:rsidRPr="007B57B3">
        <w:rPr>
          <w:rFonts w:eastAsia="Times New Roman" w:cs="Times New Roman"/>
          <w:i/>
          <w:color w:val="000000" w:themeColor="text1"/>
          <w:spacing w:val="3"/>
          <w:szCs w:val="24"/>
        </w:rPr>
        <w:t xml:space="preserve"> graduate indicator: Detailed user guide (2019-20 graduates)</w:t>
      </w:r>
      <w:r w:rsidRPr="007B57B3">
        <w:rPr>
          <w:rFonts w:eastAsia="Times New Roman" w:cs="Times New Roman"/>
          <w:color w:val="000000" w:themeColor="text1"/>
          <w:spacing w:val="3"/>
          <w:szCs w:val="24"/>
        </w:rPr>
        <w:t xml:space="preserve">. </w:t>
      </w:r>
      <w:hyperlink r:id="rId119" w:history="1">
        <w:r w:rsidRPr="007B57B3">
          <w:rPr>
            <w:rFonts w:eastAsia="Times New Roman" w:cs="Times New Roman"/>
            <w:color w:val="0563C1" w:themeColor="hyperlink"/>
            <w:spacing w:val="3"/>
            <w:szCs w:val="24"/>
            <w:u w:val="single"/>
          </w:rPr>
          <w:t>https://www.tn.gov/content/dam/tn/education/accountability/acct/2020-21_ReadyGrad.UserGuide_20210209_Final%20(2).pdf</w:t>
        </w:r>
      </w:hyperlink>
    </w:p>
    <w:p w14:paraId="6C961138" w14:textId="77777777" w:rsidR="00F1213F" w:rsidRDefault="00F1213F" w:rsidP="006A6A40">
      <w:pPr>
        <w:ind w:left="720" w:hanging="720"/>
        <w:rPr>
          <w:rStyle w:val="Hyperlink"/>
          <w:rFonts w:eastAsia="Times New Roman" w:cs="Times New Roman"/>
          <w:spacing w:val="3"/>
          <w:szCs w:val="24"/>
        </w:rPr>
      </w:pPr>
      <w:r w:rsidRPr="007B57B3">
        <w:rPr>
          <w:rFonts w:eastAsia="Times New Roman" w:cs="Times New Roman"/>
          <w:color w:val="000000" w:themeColor="text1"/>
          <w:spacing w:val="3"/>
          <w:szCs w:val="24"/>
        </w:rPr>
        <w:t xml:space="preserve">Tennessee Department of Education. (2023). </w:t>
      </w:r>
      <w:r w:rsidRPr="007B57B3">
        <w:rPr>
          <w:rFonts w:eastAsia="Times New Roman" w:cs="Times New Roman"/>
          <w:i/>
          <w:iCs/>
          <w:color w:val="000000" w:themeColor="text1"/>
          <w:spacing w:val="3"/>
          <w:szCs w:val="24"/>
        </w:rPr>
        <w:t>High School Policy. Tennessee State Board of Education</w:t>
      </w:r>
      <w:r w:rsidRPr="007B57B3">
        <w:rPr>
          <w:rFonts w:eastAsia="Times New Roman" w:cs="Times New Roman"/>
          <w:color w:val="000000" w:themeColor="text1"/>
          <w:spacing w:val="3"/>
          <w:szCs w:val="24"/>
        </w:rPr>
        <w:t xml:space="preserve">. </w:t>
      </w:r>
      <w:hyperlink r:id="rId120" w:history="1">
        <w:r w:rsidRPr="007B57B3">
          <w:rPr>
            <w:rStyle w:val="Hyperlink"/>
            <w:rFonts w:eastAsia="Times New Roman" w:cs="Times New Roman"/>
            <w:spacing w:val="3"/>
            <w:szCs w:val="24"/>
          </w:rPr>
          <w:t>https://www.tn.gov/content/dam/tn/stateboardofeducation/documents/2023-sbe-meetings/february-10%2C-2023-sbe-meeting/2-10-23%20IV%20C%20High%20School%20Policy%202.103%20Clean.pdf</w:t>
        </w:r>
      </w:hyperlink>
    </w:p>
    <w:p w14:paraId="2E903243" w14:textId="38388D6B" w:rsidR="00FB27D7" w:rsidRPr="007B57B3" w:rsidRDefault="006A6A40" w:rsidP="006A6A40">
      <w:pPr>
        <w:ind w:left="720" w:hanging="720"/>
        <w:rPr>
          <w:rFonts w:eastAsia="Times New Roman" w:cs="Times New Roman"/>
          <w:szCs w:val="24"/>
        </w:rPr>
      </w:pPr>
      <w:r w:rsidRPr="007B57B3">
        <w:rPr>
          <w:rFonts w:eastAsia="Times New Roman" w:cs="Times New Roman"/>
          <w:szCs w:val="24"/>
        </w:rPr>
        <w:t>Tennessee Higher Education Commission. (n.d.</w:t>
      </w:r>
      <w:r w:rsidR="005C43AB" w:rsidRPr="007B57B3">
        <w:rPr>
          <w:rFonts w:eastAsia="Times New Roman" w:cs="Times New Roman"/>
          <w:szCs w:val="24"/>
        </w:rPr>
        <w:t>-a</w:t>
      </w:r>
      <w:r w:rsidRPr="007B57B3">
        <w:rPr>
          <w:rFonts w:eastAsia="Times New Roman" w:cs="Times New Roman"/>
          <w:szCs w:val="24"/>
        </w:rPr>
        <w:t xml:space="preserve">). </w:t>
      </w:r>
      <w:r w:rsidRPr="007B57B3">
        <w:rPr>
          <w:rFonts w:eastAsia="Times New Roman" w:cs="Times New Roman"/>
          <w:i/>
          <w:szCs w:val="24"/>
        </w:rPr>
        <w:t>Postsecondary attainment in the decade of decision: The master plan for Tennessee postsecondary education 2015-2025</w:t>
      </w:r>
      <w:r w:rsidRPr="007B57B3">
        <w:rPr>
          <w:rFonts w:eastAsia="Times New Roman" w:cs="Times New Roman"/>
          <w:szCs w:val="24"/>
        </w:rPr>
        <w:t>.</w:t>
      </w:r>
      <w:r w:rsidR="007A2C70" w:rsidRPr="007B57B3">
        <w:rPr>
          <w:rFonts w:eastAsia="Times New Roman" w:cs="Times New Roman"/>
          <w:szCs w:val="24"/>
        </w:rPr>
        <w:t xml:space="preserve"> </w:t>
      </w:r>
      <w:hyperlink r:id="rId121" w:history="1">
        <w:r w:rsidR="007A2C70" w:rsidRPr="007B57B3">
          <w:rPr>
            <w:rStyle w:val="Hyperlink"/>
            <w:rFonts w:eastAsia="Times New Roman" w:cs="Times New Roman"/>
            <w:szCs w:val="24"/>
          </w:rPr>
          <w:t>https://www.tn.gov/content/dam/tn/thec/bureau/research/other-research/master-plan/MasterPlan2025_0418.pdf</w:t>
        </w:r>
      </w:hyperlink>
    </w:p>
    <w:p w14:paraId="4457F3D2" w14:textId="17EC1693" w:rsidR="000A783A" w:rsidRPr="007B57B3" w:rsidRDefault="000A783A" w:rsidP="000A783A">
      <w:pPr>
        <w:ind w:left="720" w:hanging="720"/>
        <w:rPr>
          <w:rFonts w:eastAsia="Times New Roman" w:cs="Times New Roman"/>
          <w:szCs w:val="24"/>
        </w:rPr>
      </w:pPr>
      <w:r w:rsidRPr="007B57B3">
        <w:rPr>
          <w:rFonts w:eastAsia="Times New Roman" w:cs="Times New Roman"/>
          <w:szCs w:val="24"/>
        </w:rPr>
        <w:t xml:space="preserve">Tennessee Higher Education Commission. (n.d.-b). </w:t>
      </w:r>
      <w:r w:rsidRPr="007B57B3">
        <w:rPr>
          <w:rFonts w:eastAsia="Times New Roman" w:cs="Times New Roman"/>
          <w:i/>
          <w:szCs w:val="24"/>
        </w:rPr>
        <w:t xml:space="preserve">THEC, outcomes-based funding formula, one page overview. </w:t>
      </w:r>
      <w:hyperlink r:id="rId122" w:history="1">
        <w:r w:rsidRPr="007B57B3">
          <w:rPr>
            <w:rStyle w:val="Hyperlink"/>
            <w:rFonts w:eastAsia="Times New Roman" w:cs="Times New Roman"/>
            <w:szCs w:val="24"/>
          </w:rPr>
          <w:t>https://www.tn.gov/content/dam/tn/thec/bureau/fiscal_admin/fiscal_pol/obff/2023-24/Outcomes%20Based%20Funding%20Formula%20Overview%20-%20One%20Page.pdf</w:t>
        </w:r>
      </w:hyperlink>
    </w:p>
    <w:p w14:paraId="78130151" w14:textId="76530DAA" w:rsidR="009B6D0A" w:rsidRPr="007B57B3" w:rsidRDefault="006552EA" w:rsidP="00DB797F">
      <w:pPr>
        <w:ind w:left="720" w:hanging="720"/>
        <w:rPr>
          <w:rFonts w:eastAsia="Times New Roman" w:cs="Times New Roman"/>
          <w:szCs w:val="24"/>
        </w:rPr>
      </w:pPr>
      <w:r w:rsidRPr="007B57B3">
        <w:rPr>
          <w:rFonts w:eastAsia="Times New Roman" w:cs="Times New Roman"/>
          <w:szCs w:val="24"/>
        </w:rPr>
        <w:lastRenderedPageBreak/>
        <w:t xml:space="preserve">Tennessee Higher Education Commission. (2020). </w:t>
      </w:r>
      <w:r w:rsidRPr="007B57B3">
        <w:rPr>
          <w:rFonts w:eastAsia="Times New Roman" w:cs="Times New Roman"/>
          <w:i/>
          <w:szCs w:val="24"/>
        </w:rPr>
        <w:t>Enabling the competitive edge: Tennessee higher education in the new economy master plan update 2020.</w:t>
      </w:r>
      <w:r w:rsidRPr="007B57B3">
        <w:rPr>
          <w:rFonts w:eastAsia="Times New Roman" w:cs="Times New Roman"/>
          <w:szCs w:val="24"/>
        </w:rPr>
        <w:t xml:space="preserve"> </w:t>
      </w:r>
      <w:hyperlink r:id="rId123" w:history="1">
        <w:r w:rsidRPr="007B57B3">
          <w:rPr>
            <w:rFonts w:eastAsia="Times New Roman" w:cs="Times New Roman"/>
            <w:color w:val="0563C1" w:themeColor="hyperlink"/>
            <w:szCs w:val="24"/>
            <w:u w:val="single"/>
          </w:rPr>
          <w:t>https://www.tn.gov/content/dam/tn/thec/bureau/research/other-research/master-plan/finalmp.pdf</w:t>
        </w:r>
      </w:hyperlink>
    </w:p>
    <w:p w14:paraId="2BA4DB45" w14:textId="10DC8CD2" w:rsidR="0062048A" w:rsidRPr="007B57B3" w:rsidRDefault="0062048A" w:rsidP="007461A5">
      <w:pPr>
        <w:ind w:left="720" w:hanging="720"/>
        <w:rPr>
          <w:rFonts w:eastAsia="Times New Roman" w:cs="Times New Roman"/>
          <w:szCs w:val="24"/>
        </w:rPr>
      </w:pPr>
      <w:r w:rsidRPr="007B57B3">
        <w:rPr>
          <w:rFonts w:eastAsia="Times New Roman" w:cs="Times New Roman"/>
          <w:szCs w:val="24"/>
        </w:rPr>
        <w:t>Tennessee Higher Education Commission. (</w:t>
      </w:r>
      <w:r w:rsidR="00FB4CC4" w:rsidRPr="007B57B3">
        <w:rPr>
          <w:rFonts w:eastAsia="Times New Roman" w:cs="Times New Roman"/>
          <w:szCs w:val="24"/>
        </w:rPr>
        <w:t xml:space="preserve">2022, January 28). </w:t>
      </w:r>
      <w:r w:rsidR="00FB4CC4" w:rsidRPr="007B57B3">
        <w:rPr>
          <w:rFonts w:eastAsia="Times New Roman" w:cs="Times New Roman"/>
          <w:i/>
          <w:iCs/>
          <w:szCs w:val="24"/>
        </w:rPr>
        <w:t xml:space="preserve">Winter 2022 commission meeting: Governor’s investment in vocational education (GIVE) and supporting access in rural counties (SPARC). </w:t>
      </w:r>
      <w:hyperlink r:id="rId124" w:history="1">
        <w:r w:rsidR="00FB4CC4" w:rsidRPr="007B57B3">
          <w:rPr>
            <w:rStyle w:val="Hyperlink"/>
            <w:rFonts w:eastAsia="Times New Roman" w:cs="Times New Roman"/>
            <w:szCs w:val="24"/>
          </w:rPr>
          <w:t>https://www.tn.gov/content/dam/tn/thec/cm/2022/winter/12%20Regular%20IV_THEC%20Jan%202022_GIVE%20SPARC.pdf</w:t>
        </w:r>
      </w:hyperlink>
      <w:r w:rsidR="00FB4CC4" w:rsidRPr="007B57B3">
        <w:rPr>
          <w:rFonts w:eastAsia="Times New Roman" w:cs="Times New Roman"/>
          <w:szCs w:val="24"/>
        </w:rPr>
        <w:t xml:space="preserve"> </w:t>
      </w:r>
    </w:p>
    <w:p w14:paraId="634C332B" w14:textId="4F9BEB76" w:rsidR="005A0B18" w:rsidRPr="007B57B3" w:rsidRDefault="005A0B18" w:rsidP="007461A5">
      <w:pPr>
        <w:ind w:left="720" w:hanging="720"/>
        <w:rPr>
          <w:rFonts w:eastAsia="Times New Roman" w:cs="Times New Roman"/>
          <w:szCs w:val="24"/>
        </w:rPr>
      </w:pPr>
      <w:r w:rsidRPr="007B57B3">
        <w:rPr>
          <w:rFonts w:eastAsia="Times New Roman" w:cs="Times New Roman"/>
          <w:szCs w:val="24"/>
        </w:rPr>
        <w:t>Tennessee Higher Education Commission. (2024</w:t>
      </w:r>
      <w:r w:rsidR="007B2F7B" w:rsidRPr="007B57B3">
        <w:rPr>
          <w:rFonts w:eastAsia="Times New Roman" w:cs="Times New Roman"/>
          <w:szCs w:val="24"/>
        </w:rPr>
        <w:t>, July 2</w:t>
      </w:r>
      <w:r w:rsidRPr="007B57B3">
        <w:rPr>
          <w:rFonts w:eastAsia="Times New Roman" w:cs="Times New Roman"/>
          <w:szCs w:val="24"/>
        </w:rPr>
        <w:t xml:space="preserve">). </w:t>
      </w:r>
      <w:r w:rsidRPr="007B57B3">
        <w:rPr>
          <w:rFonts w:eastAsia="Times New Roman" w:cs="Times New Roman"/>
          <w:i/>
          <w:iCs/>
          <w:szCs w:val="24"/>
        </w:rPr>
        <w:t>Tennessee higher education commission announces big momentum year increase in college-going rate for the class of 2023.</w:t>
      </w:r>
      <w:r w:rsidRPr="007B57B3">
        <w:rPr>
          <w:rFonts w:eastAsia="Times New Roman" w:cs="Times New Roman"/>
          <w:szCs w:val="24"/>
        </w:rPr>
        <w:t xml:space="preserve"> </w:t>
      </w:r>
      <w:hyperlink r:id="rId125" w:history="1">
        <w:r w:rsidRPr="007B57B3">
          <w:rPr>
            <w:rStyle w:val="Hyperlink"/>
            <w:rFonts w:eastAsia="Times New Roman" w:cs="Times New Roman"/>
            <w:szCs w:val="24"/>
          </w:rPr>
          <w:t>https://www.tn.gov/content/dam/tn/thec/news/news_media/2024/THEC%20CGR%20Release%20Class%20of%2023.pdf</w:t>
        </w:r>
      </w:hyperlink>
      <w:r w:rsidRPr="007B57B3">
        <w:rPr>
          <w:rFonts w:eastAsia="Times New Roman" w:cs="Times New Roman"/>
          <w:szCs w:val="24"/>
        </w:rPr>
        <w:t xml:space="preserve"> </w:t>
      </w:r>
    </w:p>
    <w:p w14:paraId="12F0210F" w14:textId="2669988E" w:rsidR="00C572A2" w:rsidRPr="007B57B3" w:rsidRDefault="00C572A2" w:rsidP="007461A5">
      <w:pPr>
        <w:ind w:left="720" w:hanging="720"/>
        <w:rPr>
          <w:rFonts w:eastAsia="Times New Roman" w:cs="Times New Roman"/>
          <w:szCs w:val="24"/>
        </w:rPr>
      </w:pPr>
      <w:r w:rsidRPr="007B57B3">
        <w:rPr>
          <w:rFonts w:eastAsia="Times New Roman" w:cs="Times New Roman"/>
          <w:szCs w:val="24"/>
        </w:rPr>
        <w:t>Tennessee Office of the Governor (2018</w:t>
      </w:r>
      <w:r w:rsidR="000709E6" w:rsidRPr="007B57B3">
        <w:rPr>
          <w:rFonts w:eastAsia="Times New Roman" w:cs="Times New Roman"/>
          <w:szCs w:val="24"/>
        </w:rPr>
        <w:t>-a</w:t>
      </w:r>
      <w:r w:rsidRPr="007B57B3">
        <w:rPr>
          <w:rFonts w:eastAsia="Times New Roman" w:cs="Times New Roman"/>
          <w:szCs w:val="24"/>
        </w:rPr>
        <w:t xml:space="preserve">). Complete to compete: Complete </w:t>
      </w:r>
      <w:r w:rsidR="00F1213F">
        <w:rPr>
          <w:rFonts w:eastAsia="Times New Roman" w:cs="Times New Roman"/>
          <w:szCs w:val="24"/>
        </w:rPr>
        <w:t>C</w:t>
      </w:r>
      <w:r w:rsidRPr="007B57B3">
        <w:rPr>
          <w:rFonts w:eastAsia="Times New Roman" w:cs="Times New Roman"/>
          <w:szCs w:val="24"/>
        </w:rPr>
        <w:t xml:space="preserve">ollege Tennessee </w:t>
      </w:r>
      <w:r w:rsidR="00F1213F">
        <w:rPr>
          <w:rFonts w:eastAsia="Times New Roman" w:cs="Times New Roman"/>
          <w:szCs w:val="24"/>
        </w:rPr>
        <w:t>A</w:t>
      </w:r>
      <w:r w:rsidRPr="007B57B3">
        <w:rPr>
          <w:rFonts w:eastAsia="Times New Roman" w:cs="Times New Roman"/>
          <w:szCs w:val="24"/>
        </w:rPr>
        <w:t xml:space="preserve">ct of 2018. </w:t>
      </w:r>
      <w:hyperlink r:id="rId126" w:history="1">
        <w:r w:rsidRPr="007B57B3">
          <w:rPr>
            <w:rStyle w:val="Hyperlink"/>
            <w:rFonts w:eastAsia="Times New Roman" w:cs="Times New Roman"/>
            <w:szCs w:val="24"/>
          </w:rPr>
          <w:t>https://www.tn.gov/content/dam/tn/governorsoffice-documents/governorsoffice-documents/CCTA_2018_One_Pager.pdf</w:t>
        </w:r>
      </w:hyperlink>
      <w:r w:rsidRPr="007B57B3">
        <w:rPr>
          <w:rFonts w:eastAsia="Times New Roman" w:cs="Times New Roman"/>
          <w:szCs w:val="24"/>
        </w:rPr>
        <w:t xml:space="preserve"> </w:t>
      </w:r>
    </w:p>
    <w:p w14:paraId="7BE6004B" w14:textId="7C231A94" w:rsidR="00C572A2" w:rsidRPr="00A64B55" w:rsidRDefault="00C572A2" w:rsidP="007461A5">
      <w:pPr>
        <w:ind w:left="720" w:hanging="720"/>
        <w:rPr>
          <w:rFonts w:eastAsia="Times New Roman" w:cs="Times New Roman"/>
          <w:szCs w:val="24"/>
        </w:rPr>
      </w:pPr>
      <w:r w:rsidRPr="00A64B55">
        <w:rPr>
          <w:rFonts w:eastAsia="Times New Roman" w:cs="Times New Roman"/>
          <w:szCs w:val="24"/>
        </w:rPr>
        <w:t>Tennessee Office of the Governor (2018</w:t>
      </w:r>
      <w:r w:rsidR="000709E6" w:rsidRPr="00A64B55">
        <w:rPr>
          <w:rFonts w:eastAsia="Times New Roman" w:cs="Times New Roman"/>
          <w:szCs w:val="24"/>
        </w:rPr>
        <w:t>-b</w:t>
      </w:r>
      <w:r w:rsidRPr="00A64B55">
        <w:rPr>
          <w:rFonts w:eastAsia="Times New Roman" w:cs="Times New Roman"/>
          <w:szCs w:val="24"/>
        </w:rPr>
        <w:t xml:space="preserve">). Complete to compete: Complete </w:t>
      </w:r>
      <w:r w:rsidR="00F1213F">
        <w:rPr>
          <w:rFonts w:eastAsia="Times New Roman" w:cs="Times New Roman"/>
          <w:szCs w:val="24"/>
        </w:rPr>
        <w:t>C</w:t>
      </w:r>
      <w:r w:rsidRPr="00A64B55">
        <w:rPr>
          <w:rFonts w:eastAsia="Times New Roman" w:cs="Times New Roman"/>
          <w:szCs w:val="24"/>
        </w:rPr>
        <w:t>olle</w:t>
      </w:r>
      <w:r w:rsidR="000709E6" w:rsidRPr="00A64B55">
        <w:rPr>
          <w:rFonts w:eastAsia="Times New Roman" w:cs="Times New Roman"/>
          <w:szCs w:val="24"/>
        </w:rPr>
        <w:t xml:space="preserve">ge </w:t>
      </w:r>
      <w:r w:rsidR="00F1213F">
        <w:rPr>
          <w:rFonts w:eastAsia="Times New Roman" w:cs="Times New Roman"/>
          <w:szCs w:val="24"/>
        </w:rPr>
        <w:t>T</w:t>
      </w:r>
      <w:r w:rsidR="000709E6" w:rsidRPr="00A64B55">
        <w:rPr>
          <w:rFonts w:eastAsia="Times New Roman" w:cs="Times New Roman"/>
          <w:szCs w:val="24"/>
        </w:rPr>
        <w:t xml:space="preserve">ennessee Act of 2018. </w:t>
      </w:r>
      <w:r w:rsidR="008F5950" w:rsidRPr="00A64B55">
        <w:rPr>
          <w:rFonts w:eastAsia="Times New Roman" w:cs="Times New Roman"/>
          <w:szCs w:val="24"/>
        </w:rPr>
        <w:t>Retrieved</w:t>
      </w:r>
      <w:r w:rsidR="00A64B55" w:rsidRPr="00A64B55">
        <w:rPr>
          <w:rFonts w:eastAsia="Times New Roman" w:cs="Times New Roman"/>
          <w:szCs w:val="24"/>
        </w:rPr>
        <w:t xml:space="preserve"> September 5, 2025, from</w:t>
      </w:r>
      <w:r w:rsidR="008F5950" w:rsidRPr="00A64B55">
        <w:rPr>
          <w:rFonts w:eastAsia="Times New Roman" w:cs="Times New Roman"/>
          <w:szCs w:val="24"/>
        </w:rPr>
        <w:t xml:space="preserve"> </w:t>
      </w:r>
      <w:hyperlink r:id="rId127" w:history="1">
        <w:r w:rsidR="008F5950" w:rsidRPr="00A64B55">
          <w:rPr>
            <w:rStyle w:val="Hyperlink"/>
            <w:rFonts w:eastAsia="Times New Roman" w:cs="Times New Roman"/>
            <w:szCs w:val="24"/>
          </w:rPr>
          <w:t>https://www.tn.gov/former-governor-haslam/2018-legislative-priorities/completion.html</w:t>
        </w:r>
      </w:hyperlink>
      <w:r w:rsidR="000709E6" w:rsidRPr="00A64B55">
        <w:rPr>
          <w:rFonts w:eastAsia="Times New Roman" w:cs="Times New Roman"/>
          <w:szCs w:val="24"/>
        </w:rPr>
        <w:t xml:space="preserve"> </w:t>
      </w:r>
    </w:p>
    <w:p w14:paraId="420981C0" w14:textId="262FCD9F" w:rsidR="00204768" w:rsidRPr="007B57B3" w:rsidRDefault="00204768" w:rsidP="007461A5">
      <w:pPr>
        <w:ind w:left="720" w:hanging="720"/>
        <w:rPr>
          <w:rFonts w:eastAsia="Times New Roman" w:cs="Times New Roman"/>
          <w:szCs w:val="24"/>
        </w:rPr>
      </w:pPr>
      <w:r w:rsidRPr="007B57B3">
        <w:rPr>
          <w:rFonts w:eastAsia="Times New Roman" w:cs="Times New Roman"/>
          <w:szCs w:val="24"/>
        </w:rPr>
        <w:t xml:space="preserve">Tennessee SCORE. (2023). Building a vision for early postsecondary opportunities. </w:t>
      </w:r>
      <w:hyperlink r:id="rId128" w:history="1">
        <w:r w:rsidRPr="007B57B3">
          <w:rPr>
            <w:rStyle w:val="Hyperlink"/>
            <w:rFonts w:eastAsia="Times New Roman" w:cs="Times New Roman"/>
            <w:szCs w:val="24"/>
          </w:rPr>
          <w:t>https://tnscore.org/assets/documents/EPSO-Report-Digital-Final.pdf</w:t>
        </w:r>
      </w:hyperlink>
      <w:r w:rsidRPr="007B57B3">
        <w:rPr>
          <w:rFonts w:eastAsia="Times New Roman" w:cs="Times New Roman"/>
          <w:szCs w:val="24"/>
        </w:rPr>
        <w:t xml:space="preserve"> </w:t>
      </w:r>
    </w:p>
    <w:p w14:paraId="4C5D6962" w14:textId="64C5C7E8" w:rsidR="007A2C70" w:rsidRPr="007461A5" w:rsidRDefault="007461A5" w:rsidP="007461A5">
      <w:pPr>
        <w:ind w:left="720" w:hanging="720"/>
        <w:rPr>
          <w:rFonts w:eastAsia="Times New Roman" w:cs="Times New Roman"/>
          <w:szCs w:val="24"/>
        </w:rPr>
      </w:pPr>
      <w:r w:rsidRPr="00F91BA2">
        <w:rPr>
          <w:rFonts w:eastAsia="Times New Roman" w:cs="Times New Roman"/>
          <w:szCs w:val="24"/>
        </w:rPr>
        <w:lastRenderedPageBreak/>
        <w:t xml:space="preserve">Tennessee State Government. (2018). </w:t>
      </w:r>
      <w:r w:rsidRPr="00F91BA2">
        <w:rPr>
          <w:rFonts w:eastAsia="Times New Roman" w:cs="Times New Roman"/>
          <w:i/>
          <w:iCs/>
          <w:szCs w:val="24"/>
        </w:rPr>
        <w:t>Tennessee’s education transformation.</w:t>
      </w:r>
      <w:r w:rsidRPr="00F91BA2">
        <w:rPr>
          <w:rFonts w:eastAsia="Times New Roman" w:cs="Times New Roman"/>
          <w:szCs w:val="24"/>
        </w:rPr>
        <w:t xml:space="preserve"> </w:t>
      </w:r>
      <w:r w:rsidR="00F91BA2" w:rsidRPr="00F91BA2">
        <w:rPr>
          <w:rFonts w:eastAsia="Times New Roman" w:cs="Times New Roman"/>
          <w:szCs w:val="24"/>
        </w:rPr>
        <w:t xml:space="preserve">Retrieved July 11, 2025, from </w:t>
      </w:r>
      <w:hyperlink r:id="rId129" w:history="1">
        <w:r w:rsidR="00F91BA2" w:rsidRPr="00F91BA2">
          <w:rPr>
            <w:rStyle w:val="Hyperlink"/>
            <w:rFonts w:eastAsia="Times New Roman" w:cs="Times New Roman"/>
            <w:szCs w:val="24"/>
          </w:rPr>
          <w:t>https://www.tn.gov/former-governor-haslam/priorities/tennessee-education-transformation.html</w:t>
        </w:r>
      </w:hyperlink>
      <w:r>
        <w:rPr>
          <w:rFonts w:eastAsia="Times New Roman" w:cs="Times New Roman"/>
          <w:szCs w:val="24"/>
        </w:rPr>
        <w:t xml:space="preserve"> </w:t>
      </w:r>
    </w:p>
    <w:p w14:paraId="57E0C433" w14:textId="1EF83B76" w:rsidR="00EA66B8" w:rsidRDefault="00EA66B8" w:rsidP="00A866B8">
      <w:pPr>
        <w:ind w:left="720" w:hanging="720"/>
        <w:rPr>
          <w:rFonts w:cs="Times New Roman"/>
          <w:color w:val="000000" w:themeColor="text1"/>
          <w:szCs w:val="24"/>
        </w:rPr>
      </w:pPr>
      <w:r>
        <w:rPr>
          <w:rFonts w:cs="Times New Roman"/>
          <w:color w:val="000000" w:themeColor="text1"/>
          <w:szCs w:val="24"/>
        </w:rPr>
        <w:t>Tennessee State Government. (2026</w:t>
      </w:r>
      <w:r w:rsidR="008B59FC">
        <w:rPr>
          <w:rFonts w:cs="Times New Roman"/>
          <w:color w:val="000000" w:themeColor="text1"/>
          <w:szCs w:val="24"/>
        </w:rPr>
        <w:t xml:space="preserve">, January 17). </w:t>
      </w:r>
      <w:r w:rsidR="008B59FC" w:rsidRPr="008B59FC">
        <w:rPr>
          <w:rFonts w:cs="Times New Roman"/>
          <w:i/>
          <w:iCs/>
          <w:color w:val="000000" w:themeColor="text1"/>
          <w:szCs w:val="24"/>
        </w:rPr>
        <w:t>HB 1121-SB 1409 Fiscal Memorandum.</w:t>
      </w:r>
      <w:r w:rsidR="008B59FC">
        <w:rPr>
          <w:rFonts w:cs="Times New Roman"/>
          <w:color w:val="000000" w:themeColor="text1"/>
          <w:szCs w:val="24"/>
        </w:rPr>
        <w:t xml:space="preserve"> </w:t>
      </w:r>
      <w:hyperlink r:id="rId130" w:history="1">
        <w:r w:rsidR="008B59FC" w:rsidRPr="002405E2">
          <w:rPr>
            <w:rStyle w:val="Hyperlink"/>
            <w:rFonts w:cs="Times New Roman"/>
            <w:szCs w:val="24"/>
          </w:rPr>
          <w:t>https://www.capitol.tn.gov/Bills/114/Fiscal/FM1407.pdf</w:t>
        </w:r>
      </w:hyperlink>
      <w:r w:rsidR="008B59FC">
        <w:rPr>
          <w:rFonts w:cs="Times New Roman"/>
          <w:color w:val="000000" w:themeColor="text1"/>
          <w:szCs w:val="24"/>
        </w:rPr>
        <w:t xml:space="preserve"> </w:t>
      </w:r>
    </w:p>
    <w:p w14:paraId="4F2BFB21" w14:textId="3E7CE16C" w:rsidR="00A866B8" w:rsidRPr="00291504" w:rsidRDefault="00A866B8" w:rsidP="00A866B8">
      <w:pPr>
        <w:ind w:left="720" w:hanging="720"/>
        <w:rPr>
          <w:rFonts w:cs="Times New Roman"/>
          <w:color w:val="000000" w:themeColor="text1"/>
          <w:szCs w:val="24"/>
        </w:rPr>
      </w:pPr>
      <w:r w:rsidRPr="00291504">
        <w:rPr>
          <w:rFonts w:cs="Times New Roman"/>
          <w:color w:val="000000" w:themeColor="text1"/>
          <w:szCs w:val="24"/>
        </w:rPr>
        <w:t xml:space="preserve">Testa, J., (2017). </w:t>
      </w:r>
      <w:r w:rsidRPr="00972755">
        <w:rPr>
          <w:rFonts w:cs="Times New Roman"/>
          <w:i/>
          <w:color w:val="000000" w:themeColor="text1"/>
          <w:szCs w:val="24"/>
        </w:rPr>
        <w:t>Funding Tennessee’s public colleges and universities: The outcomes-based funding formula.</w:t>
      </w:r>
      <w:r w:rsidR="00DA1ED4">
        <w:t xml:space="preserve"> </w:t>
      </w:r>
      <w:r w:rsidR="00DA1ED4" w:rsidRPr="00972755">
        <w:t>Tennessee Comptroller of the Treasury.</w:t>
      </w:r>
      <w:r w:rsidR="00DA1ED4">
        <w:t xml:space="preserve"> </w:t>
      </w:r>
      <w:hyperlink r:id="rId131" w:history="1">
        <w:r w:rsidR="00DA1ED4" w:rsidRPr="003C0B2B">
          <w:rPr>
            <w:rStyle w:val="Hyperlink"/>
            <w:rFonts w:cs="Times New Roman"/>
            <w:szCs w:val="24"/>
          </w:rPr>
          <w:t>https://comptroller.tn.gov/content/dam/cot/orea/advanced-search/2017/2017_OREA_OutcomesBasedFund.pdf</w:t>
        </w:r>
      </w:hyperlink>
    </w:p>
    <w:p w14:paraId="08CE3B7A" w14:textId="4747E742" w:rsidR="00CF21C8" w:rsidRDefault="00686447" w:rsidP="00CF21C8">
      <w:pPr>
        <w:ind w:left="720" w:hanging="720"/>
        <w:rPr>
          <w:rFonts w:cs="Times New Roman"/>
          <w:color w:val="000000" w:themeColor="text1"/>
          <w:szCs w:val="24"/>
        </w:rPr>
      </w:pPr>
      <w:r>
        <w:rPr>
          <w:rFonts w:cs="Times New Roman"/>
          <w:color w:val="000000" w:themeColor="text1"/>
          <w:szCs w:val="24"/>
        </w:rPr>
        <w:t xml:space="preserve">Thelin, J. R., (2019). </w:t>
      </w:r>
      <w:r w:rsidRPr="00686447">
        <w:rPr>
          <w:rFonts w:cs="Times New Roman"/>
          <w:i/>
          <w:iCs/>
          <w:color w:val="000000" w:themeColor="text1"/>
          <w:szCs w:val="24"/>
        </w:rPr>
        <w:t>A history of American higher education</w:t>
      </w:r>
      <w:r>
        <w:rPr>
          <w:rFonts w:cs="Times New Roman"/>
          <w:color w:val="000000" w:themeColor="text1"/>
          <w:szCs w:val="24"/>
        </w:rPr>
        <w:t xml:space="preserve"> (3</w:t>
      </w:r>
      <w:r w:rsidRPr="00686447">
        <w:rPr>
          <w:rFonts w:cs="Times New Roman"/>
          <w:color w:val="000000" w:themeColor="text1"/>
          <w:szCs w:val="24"/>
          <w:vertAlign w:val="superscript"/>
        </w:rPr>
        <w:t>rd</w:t>
      </w:r>
      <w:r>
        <w:rPr>
          <w:rFonts w:cs="Times New Roman"/>
          <w:color w:val="000000" w:themeColor="text1"/>
          <w:szCs w:val="24"/>
        </w:rPr>
        <w:t xml:space="preserve"> ed.). Johns Hopkins University Press.</w:t>
      </w:r>
    </w:p>
    <w:p w14:paraId="3F916120" w14:textId="4758C852" w:rsidR="00CF21C8" w:rsidRDefault="00CF21C8" w:rsidP="00A866B8">
      <w:pPr>
        <w:ind w:left="720" w:hanging="720"/>
        <w:rPr>
          <w:rFonts w:cs="Times New Roman"/>
          <w:color w:val="000000" w:themeColor="text1"/>
          <w:szCs w:val="24"/>
        </w:rPr>
      </w:pPr>
      <w:r>
        <w:rPr>
          <w:rFonts w:cs="Times New Roman"/>
          <w:color w:val="000000" w:themeColor="text1"/>
          <w:szCs w:val="24"/>
        </w:rPr>
        <w:t xml:space="preserve">Thiem, K. C., &amp; Dasgupta, N. (2022). From precollege to career: Barriers facing historically marginalized students and evidence-based solutions. </w:t>
      </w:r>
      <w:r w:rsidRPr="00CF21C8">
        <w:rPr>
          <w:rFonts w:cs="Times New Roman"/>
          <w:i/>
          <w:iCs/>
          <w:color w:val="000000" w:themeColor="text1"/>
          <w:szCs w:val="24"/>
        </w:rPr>
        <w:t>Social Issues and Policy Review, 16</w:t>
      </w:r>
      <w:r>
        <w:rPr>
          <w:rFonts w:cs="Times New Roman"/>
          <w:color w:val="000000" w:themeColor="text1"/>
          <w:szCs w:val="24"/>
        </w:rPr>
        <w:t xml:space="preserve">(1), 212-251. </w:t>
      </w:r>
      <w:hyperlink r:id="rId132" w:history="1">
        <w:r w:rsidRPr="00410328">
          <w:rPr>
            <w:rStyle w:val="Hyperlink"/>
            <w:rFonts w:cs="Times New Roman"/>
            <w:szCs w:val="24"/>
          </w:rPr>
          <w:t>https://doi.org/10.1111/sipr.12085</w:t>
        </w:r>
      </w:hyperlink>
      <w:r>
        <w:rPr>
          <w:rFonts w:cs="Times New Roman"/>
          <w:color w:val="000000" w:themeColor="text1"/>
          <w:szCs w:val="24"/>
        </w:rPr>
        <w:t xml:space="preserve"> </w:t>
      </w:r>
    </w:p>
    <w:p w14:paraId="057112A3" w14:textId="6409CFC5" w:rsidR="00A267F9" w:rsidRDefault="00B96243" w:rsidP="004D4722">
      <w:pPr>
        <w:ind w:left="720" w:hanging="720"/>
        <w:rPr>
          <w:rFonts w:cs="Times New Roman"/>
          <w:color w:val="000000" w:themeColor="text1"/>
          <w:szCs w:val="24"/>
        </w:rPr>
      </w:pPr>
      <w:r>
        <w:rPr>
          <w:rFonts w:cs="Times New Roman"/>
          <w:color w:val="000000" w:themeColor="text1"/>
          <w:szCs w:val="24"/>
        </w:rPr>
        <w:t xml:space="preserve">Tulloch, A., G. (2024) </w:t>
      </w:r>
      <w:r w:rsidRPr="00B96243">
        <w:rPr>
          <w:rFonts w:cs="Times New Roman"/>
          <w:i/>
          <w:iCs/>
          <w:color w:val="000000" w:themeColor="text1"/>
          <w:szCs w:val="24"/>
        </w:rPr>
        <w:t>What do dual enrollment students want? Elevating the voices of historically underserved students to guide reforms.</w:t>
      </w:r>
      <w:r>
        <w:rPr>
          <w:rFonts w:cs="Times New Roman"/>
          <w:color w:val="000000" w:themeColor="text1"/>
          <w:szCs w:val="24"/>
        </w:rPr>
        <w:t xml:space="preserve"> Community College Research Center. </w:t>
      </w:r>
      <w:hyperlink r:id="rId133" w:history="1">
        <w:r w:rsidRPr="004841C6">
          <w:rPr>
            <w:rStyle w:val="Hyperlink"/>
            <w:rFonts w:cs="Times New Roman"/>
            <w:szCs w:val="24"/>
          </w:rPr>
          <w:t>https://ccrc.tc.columbia.edu/wp-content/uploads/2024/11/what-do-de-students-want.pdf</w:t>
        </w:r>
      </w:hyperlink>
      <w:r>
        <w:rPr>
          <w:rFonts w:cs="Times New Roman"/>
          <w:color w:val="000000" w:themeColor="text1"/>
          <w:szCs w:val="24"/>
        </w:rPr>
        <w:t xml:space="preserve"> </w:t>
      </w:r>
    </w:p>
    <w:p w14:paraId="372F87DE" w14:textId="38771703" w:rsidR="00511515" w:rsidRDefault="00ED35F6" w:rsidP="00A866B8">
      <w:pPr>
        <w:ind w:left="720" w:hanging="720"/>
        <w:rPr>
          <w:rFonts w:cs="Times New Roman"/>
          <w:color w:val="000000" w:themeColor="text1"/>
          <w:szCs w:val="24"/>
        </w:rPr>
      </w:pPr>
      <w:r>
        <w:rPr>
          <w:rFonts w:cs="Times New Roman"/>
          <w:color w:val="000000" w:themeColor="text1"/>
          <w:szCs w:val="24"/>
        </w:rPr>
        <w:t xml:space="preserve">Velasco, T., Fink, J., Bedoya-Guervara, M., &amp; Jenkins, D. (2024). </w:t>
      </w:r>
      <w:r w:rsidRPr="005E47B7">
        <w:rPr>
          <w:rFonts w:cs="Times New Roman"/>
          <w:i/>
          <w:iCs/>
          <w:color w:val="000000" w:themeColor="text1"/>
          <w:szCs w:val="24"/>
        </w:rPr>
        <w:t>The postsecondary outcomes of high school dual enrollment students: A national and state-by-state analysis.</w:t>
      </w:r>
      <w:r>
        <w:rPr>
          <w:rFonts w:cs="Times New Roman"/>
          <w:color w:val="000000" w:themeColor="text1"/>
          <w:szCs w:val="24"/>
        </w:rPr>
        <w:t xml:space="preserve"> Community College Research Center. </w:t>
      </w:r>
      <w:hyperlink r:id="rId134" w:history="1">
        <w:r w:rsidR="00EF56B7" w:rsidRPr="00046905">
          <w:rPr>
            <w:rStyle w:val="Hyperlink"/>
          </w:rPr>
          <w:t>https://files.eric.ed.gov/fulltext/ED661434.pdf</w:t>
        </w:r>
      </w:hyperlink>
      <w:r w:rsidR="00EF56B7">
        <w:t xml:space="preserve"> </w:t>
      </w:r>
    </w:p>
    <w:p w14:paraId="4031CA6D" w14:textId="77777777" w:rsidR="000A74B3" w:rsidRDefault="000A74B3" w:rsidP="007461A5">
      <w:pPr>
        <w:ind w:left="720" w:hanging="720"/>
        <w:rPr>
          <w:rFonts w:eastAsia="Times New Roman" w:cs="Times New Roman"/>
          <w:szCs w:val="24"/>
        </w:rPr>
      </w:pPr>
    </w:p>
    <w:p w14:paraId="27CEB42A" w14:textId="77777777" w:rsidR="000A74B3" w:rsidRDefault="000A74B3" w:rsidP="007461A5">
      <w:pPr>
        <w:ind w:left="720" w:hanging="720"/>
        <w:rPr>
          <w:rFonts w:eastAsia="Times New Roman" w:cs="Times New Roman"/>
          <w:szCs w:val="24"/>
        </w:rPr>
      </w:pPr>
    </w:p>
    <w:p w14:paraId="1D41D629" w14:textId="512F8A05" w:rsidR="001547AF" w:rsidRDefault="001547AF" w:rsidP="007461A5">
      <w:pPr>
        <w:ind w:left="720" w:hanging="720"/>
        <w:rPr>
          <w:rFonts w:eastAsia="Times New Roman" w:cs="Times New Roman"/>
          <w:szCs w:val="24"/>
        </w:rPr>
      </w:pPr>
      <w:r>
        <w:rPr>
          <w:rFonts w:eastAsia="Times New Roman" w:cs="Times New Roman"/>
          <w:szCs w:val="24"/>
        </w:rPr>
        <w:lastRenderedPageBreak/>
        <w:t xml:space="preserve">Wang, X., Hsun-yu, C., Phelps, A., &amp; Washbon, J. I. (2015). Fuel for success: Academic momentum as a mediator between dual enrollment and educational outcomes of two-year technical college students. </w:t>
      </w:r>
      <w:r w:rsidR="00D95D40" w:rsidRPr="000B6A7E">
        <w:rPr>
          <w:rFonts w:eastAsia="Times New Roman" w:cs="Times New Roman"/>
          <w:i/>
          <w:iCs/>
          <w:szCs w:val="24"/>
        </w:rPr>
        <w:t>Community College Review, 43</w:t>
      </w:r>
      <w:r w:rsidR="00D95D40">
        <w:rPr>
          <w:rFonts w:eastAsia="Times New Roman" w:cs="Times New Roman"/>
          <w:szCs w:val="24"/>
        </w:rPr>
        <w:t xml:space="preserve">(2), 165-190. </w:t>
      </w:r>
      <w:hyperlink r:id="rId135" w:history="1">
        <w:r w:rsidR="00D95D40" w:rsidRPr="00AB051E">
          <w:rPr>
            <w:rStyle w:val="Hyperlink"/>
            <w:rFonts w:eastAsia="Times New Roman" w:cs="Times New Roman"/>
            <w:szCs w:val="24"/>
          </w:rPr>
          <w:t>https://doi.org.10.1177/0091552115569846</w:t>
        </w:r>
      </w:hyperlink>
      <w:r w:rsidR="00D95D40">
        <w:rPr>
          <w:rFonts w:eastAsia="Times New Roman" w:cs="Times New Roman"/>
          <w:szCs w:val="24"/>
        </w:rPr>
        <w:t xml:space="preserve"> </w:t>
      </w:r>
    </w:p>
    <w:p w14:paraId="0FA449A8" w14:textId="556BA265" w:rsidR="000E2A7A" w:rsidRPr="007461A5" w:rsidRDefault="007461A5" w:rsidP="007461A5">
      <w:pPr>
        <w:ind w:left="720" w:hanging="720"/>
        <w:rPr>
          <w:rFonts w:eastAsia="Times New Roman" w:cs="Times New Roman"/>
          <w:szCs w:val="24"/>
        </w:rPr>
      </w:pPr>
      <w:r w:rsidRPr="008F7F8E">
        <w:rPr>
          <w:rFonts w:eastAsia="Times New Roman" w:cs="Times New Roman"/>
          <w:szCs w:val="24"/>
        </w:rPr>
        <w:t>White, C.</w:t>
      </w:r>
      <w:r w:rsidR="003F775D" w:rsidRPr="008F7F8E">
        <w:rPr>
          <w:rFonts w:eastAsia="Times New Roman" w:cs="Times New Roman"/>
          <w:szCs w:val="24"/>
        </w:rPr>
        <w:t xml:space="preserve"> </w:t>
      </w:r>
      <w:r w:rsidRPr="008F7F8E">
        <w:rPr>
          <w:rFonts w:eastAsia="Times New Roman" w:cs="Times New Roman"/>
          <w:szCs w:val="24"/>
        </w:rPr>
        <w:t xml:space="preserve">C. (2022). The college completion agenda: Managing and leading change. </w:t>
      </w:r>
      <w:r w:rsidRPr="008F7F8E">
        <w:rPr>
          <w:rFonts w:eastAsia="Times New Roman" w:cs="Times New Roman"/>
          <w:i/>
          <w:iCs/>
          <w:szCs w:val="24"/>
        </w:rPr>
        <w:t>New Directions for Community Colleges, 198</w:t>
      </w:r>
      <w:r w:rsidR="008F7F8E" w:rsidRPr="008F7F8E">
        <w:rPr>
          <w:rFonts w:eastAsia="Times New Roman" w:cs="Times New Roman"/>
          <w:i/>
          <w:iCs/>
          <w:szCs w:val="24"/>
        </w:rPr>
        <w:t>,</w:t>
      </w:r>
      <w:r w:rsidR="008F7F8E" w:rsidRPr="008F7F8E">
        <w:rPr>
          <w:rFonts w:eastAsia="Times New Roman" w:cs="Times New Roman"/>
          <w:szCs w:val="24"/>
        </w:rPr>
        <w:t xml:space="preserve"> </w:t>
      </w:r>
      <w:r w:rsidRPr="008F7F8E">
        <w:rPr>
          <w:rFonts w:eastAsia="Times New Roman" w:cs="Times New Roman"/>
          <w:szCs w:val="24"/>
        </w:rPr>
        <w:t xml:space="preserve">171-183. </w:t>
      </w:r>
      <w:hyperlink r:id="rId136" w:history="1">
        <w:r w:rsidR="008F7F8E" w:rsidRPr="008F7F8E">
          <w:rPr>
            <w:rStyle w:val="Hyperlink"/>
            <w:rFonts w:eastAsia="Times New Roman" w:cs="Times New Roman"/>
            <w:szCs w:val="24"/>
          </w:rPr>
          <w:t>https://doi.org/10.1002/cc.20519</w:t>
        </w:r>
      </w:hyperlink>
      <w:r>
        <w:rPr>
          <w:rFonts w:eastAsia="Times New Roman" w:cs="Times New Roman"/>
          <w:szCs w:val="24"/>
        </w:rPr>
        <w:t xml:space="preserve"> </w:t>
      </w:r>
    </w:p>
    <w:p w14:paraId="17D956AB" w14:textId="14232EC5" w:rsidR="00685806" w:rsidRDefault="00685806" w:rsidP="007461A5">
      <w:pPr>
        <w:ind w:left="720" w:hanging="720"/>
        <w:rPr>
          <w:rFonts w:eastAsia="Times New Roman" w:cs="Times New Roman"/>
          <w:szCs w:val="24"/>
        </w:rPr>
      </w:pPr>
      <w:r>
        <w:rPr>
          <w:rFonts w:eastAsia="Times New Roman" w:cs="Times New Roman"/>
          <w:szCs w:val="24"/>
        </w:rPr>
        <w:t xml:space="preserve">Woodhouse, L. (2024, September 9). </w:t>
      </w:r>
      <w:r w:rsidRPr="00685806">
        <w:rPr>
          <w:rFonts w:eastAsia="Times New Roman" w:cs="Times New Roman"/>
          <w:i/>
          <w:iCs/>
          <w:szCs w:val="24"/>
        </w:rPr>
        <w:t>New report: Cost remains the largest barrier to higher ed.</w:t>
      </w:r>
      <w:r>
        <w:rPr>
          <w:rFonts w:eastAsia="Times New Roman" w:cs="Times New Roman"/>
          <w:szCs w:val="24"/>
        </w:rPr>
        <w:t xml:space="preserve"> National College Attainment Network. </w:t>
      </w:r>
      <w:hyperlink r:id="rId137" w:history="1">
        <w:r w:rsidRPr="004841C6">
          <w:rPr>
            <w:rStyle w:val="Hyperlink"/>
            <w:rFonts w:eastAsia="Times New Roman" w:cs="Times New Roman"/>
            <w:szCs w:val="24"/>
          </w:rPr>
          <w:t>https://www.ncan.org/news/681687/New-Report-Cost-Remains-the-Largest-Barrier-to-Higher-Ed.htm</w:t>
        </w:r>
      </w:hyperlink>
      <w:r>
        <w:rPr>
          <w:rFonts w:eastAsia="Times New Roman" w:cs="Times New Roman"/>
          <w:szCs w:val="24"/>
        </w:rPr>
        <w:t xml:space="preserve"> </w:t>
      </w:r>
    </w:p>
    <w:p w14:paraId="718E924C" w14:textId="7A0D1A23" w:rsidR="00BE2FE1" w:rsidRDefault="00A52DFE" w:rsidP="007461A5">
      <w:pPr>
        <w:ind w:left="720" w:hanging="720"/>
        <w:rPr>
          <w:rFonts w:eastAsia="Times New Roman" w:cs="Times New Roman"/>
          <w:szCs w:val="24"/>
        </w:rPr>
      </w:pPr>
      <w:r>
        <w:rPr>
          <w:rFonts w:eastAsia="Times New Roman" w:cs="Times New Roman"/>
          <w:szCs w:val="24"/>
        </w:rPr>
        <w:t xml:space="preserve">Xu, D., Solanki, S., &amp; Fink, J. (2021). College acceleration for all? Mapping racial gaps in advanced placement and dual enrollment participation. American Educational Research Journal, 58(5), 954-992. </w:t>
      </w:r>
      <w:hyperlink r:id="rId138" w:history="1">
        <w:r w:rsidRPr="00AB051E">
          <w:rPr>
            <w:rStyle w:val="Hyperlink"/>
            <w:rFonts w:eastAsia="Times New Roman" w:cs="Times New Roman"/>
            <w:szCs w:val="24"/>
          </w:rPr>
          <w:t>https://doi.org/10.3102/0002831221991138</w:t>
        </w:r>
      </w:hyperlink>
      <w:r>
        <w:rPr>
          <w:rFonts w:eastAsia="Times New Roman" w:cs="Times New Roman"/>
          <w:szCs w:val="24"/>
        </w:rPr>
        <w:t xml:space="preserve"> </w:t>
      </w:r>
    </w:p>
    <w:p w14:paraId="125DBB61" w14:textId="19FF488A" w:rsidR="00537D92" w:rsidRDefault="00537D92" w:rsidP="007461A5">
      <w:pPr>
        <w:ind w:left="720" w:hanging="720"/>
        <w:rPr>
          <w:rFonts w:eastAsia="Times New Roman" w:cs="Times New Roman"/>
          <w:szCs w:val="24"/>
        </w:rPr>
      </w:pPr>
      <w:r>
        <w:rPr>
          <w:rFonts w:eastAsia="Times New Roman" w:cs="Times New Roman"/>
          <w:szCs w:val="24"/>
        </w:rPr>
        <w:t xml:space="preserve">Young, R. (2021). </w:t>
      </w:r>
      <w:r w:rsidRPr="009F713B">
        <w:rPr>
          <w:rFonts w:eastAsia="Times New Roman" w:cs="Times New Roman"/>
          <w:i/>
          <w:iCs/>
          <w:szCs w:val="24"/>
        </w:rPr>
        <w:t>Dual enrollment’s impact on completion.</w:t>
      </w:r>
      <w:r>
        <w:rPr>
          <w:rFonts w:eastAsia="Times New Roman" w:cs="Times New Roman"/>
          <w:szCs w:val="24"/>
        </w:rPr>
        <w:t xml:space="preserve"> [Doctoral dissertation, East Tennessee State University]. Electronic Theses and Dissertations. </w:t>
      </w:r>
      <w:hyperlink r:id="rId139" w:history="1">
        <w:r w:rsidRPr="004841C6">
          <w:rPr>
            <w:rStyle w:val="Hyperlink"/>
            <w:rFonts w:eastAsia="Times New Roman" w:cs="Times New Roman"/>
            <w:szCs w:val="24"/>
          </w:rPr>
          <w:t>https://dc.etsu.edu/etd/3852</w:t>
        </w:r>
      </w:hyperlink>
      <w:r>
        <w:rPr>
          <w:rFonts w:eastAsia="Times New Roman" w:cs="Times New Roman"/>
          <w:szCs w:val="24"/>
        </w:rPr>
        <w:t xml:space="preserve">  </w:t>
      </w:r>
    </w:p>
    <w:p w14:paraId="6DAAA9D9" w14:textId="0442D122" w:rsidR="007461A5" w:rsidRDefault="007461A5" w:rsidP="007461A5">
      <w:pPr>
        <w:ind w:left="720" w:hanging="720"/>
        <w:rPr>
          <w:rFonts w:eastAsia="Times New Roman" w:cs="Times New Roman"/>
          <w:szCs w:val="24"/>
        </w:rPr>
      </w:pPr>
      <w:r>
        <w:rPr>
          <w:rFonts w:eastAsia="Times New Roman" w:cs="Times New Roman"/>
          <w:szCs w:val="24"/>
        </w:rPr>
        <w:t xml:space="preserve">Zinth, J., &amp; Barnett, E., (2018). </w:t>
      </w:r>
      <w:r w:rsidRPr="00D86FCE">
        <w:rPr>
          <w:rFonts w:eastAsia="Times New Roman" w:cs="Times New Roman"/>
          <w:i/>
          <w:iCs/>
          <w:szCs w:val="24"/>
        </w:rPr>
        <w:t>Rethinking dual enrollment to reach more students.</w:t>
      </w:r>
      <w:r>
        <w:rPr>
          <w:rFonts w:eastAsia="Times New Roman" w:cs="Times New Roman"/>
          <w:szCs w:val="24"/>
        </w:rPr>
        <w:t xml:space="preserve"> Education Commission of the States. </w:t>
      </w:r>
      <w:hyperlink r:id="rId140" w:history="1">
        <w:r w:rsidRPr="004D3947">
          <w:rPr>
            <w:rStyle w:val="Hyperlink"/>
            <w:rFonts w:eastAsia="Times New Roman" w:cs="Times New Roman"/>
            <w:szCs w:val="24"/>
          </w:rPr>
          <w:t>https://files.eric.ed.gov/fulltext/ED582909.pdf</w:t>
        </w:r>
      </w:hyperlink>
      <w:r>
        <w:rPr>
          <w:rFonts w:eastAsia="Times New Roman" w:cs="Times New Roman"/>
          <w:szCs w:val="24"/>
        </w:rPr>
        <w:t xml:space="preserve"> </w:t>
      </w:r>
    </w:p>
    <w:p w14:paraId="0303C2A1" w14:textId="424E3E87" w:rsidR="004348A5" w:rsidRDefault="004348A5" w:rsidP="00A866B8">
      <w:pPr>
        <w:rPr>
          <w:rFonts w:eastAsia="Times New Roman" w:cs="Times New Roman"/>
          <w:szCs w:val="24"/>
        </w:rPr>
      </w:pPr>
    </w:p>
    <w:p w14:paraId="38E9E330" w14:textId="6774B29F" w:rsidR="00C97282" w:rsidRDefault="00C97282" w:rsidP="00C97282"/>
    <w:p w14:paraId="02F579D9" w14:textId="1E502585" w:rsidR="004D4722" w:rsidRDefault="004D4722" w:rsidP="00C97282"/>
    <w:p w14:paraId="03BC0ED4" w14:textId="687D9340" w:rsidR="004D4722" w:rsidRDefault="004D4722" w:rsidP="00C97282"/>
    <w:p w14:paraId="3486EB1F" w14:textId="2A4DFF8E" w:rsidR="004D4722" w:rsidRDefault="004D4722" w:rsidP="00C97282"/>
    <w:p w14:paraId="0D51AA34" w14:textId="79BC92C2" w:rsidR="004D4722" w:rsidRDefault="004D4722" w:rsidP="00C97282"/>
    <w:p w14:paraId="52571389" w14:textId="279AEC27" w:rsidR="004D4722" w:rsidRDefault="004D4722" w:rsidP="00C97282"/>
    <w:p w14:paraId="7D6267EF" w14:textId="678E7115" w:rsidR="004D4722" w:rsidRDefault="004D4722" w:rsidP="00C97282"/>
    <w:p w14:paraId="5E953155" w14:textId="5E665DB4" w:rsidR="004D4722" w:rsidRDefault="004D4722" w:rsidP="00C97282"/>
    <w:p w14:paraId="1825AE37" w14:textId="5123917E" w:rsidR="004D4722" w:rsidRDefault="004D4722" w:rsidP="00C97282"/>
    <w:p w14:paraId="5C91604B" w14:textId="660F2828" w:rsidR="004D4722" w:rsidRDefault="004D4722" w:rsidP="00C97282"/>
    <w:p w14:paraId="6E847FEA" w14:textId="38DD1AC4" w:rsidR="004D4722" w:rsidRDefault="004D4722" w:rsidP="00C97282"/>
    <w:p w14:paraId="1558AD71" w14:textId="6E24314D" w:rsidR="004D4722" w:rsidRDefault="004D4722" w:rsidP="00C97282"/>
    <w:p w14:paraId="7D844B7C" w14:textId="0FBD819D" w:rsidR="004D4722" w:rsidRDefault="004D4722" w:rsidP="00C97282"/>
    <w:p w14:paraId="742211F7" w14:textId="4E1FDA27" w:rsidR="004D4722" w:rsidRDefault="004D4722" w:rsidP="00C97282"/>
    <w:p w14:paraId="3700F458" w14:textId="77777777" w:rsidR="004D4722" w:rsidRDefault="004D4722" w:rsidP="00C97282"/>
    <w:p w14:paraId="7FBD6C3E" w14:textId="77777777" w:rsidR="00410075" w:rsidRDefault="00410075" w:rsidP="00410075">
      <w:pPr>
        <w:pStyle w:val="Heading1"/>
      </w:pPr>
      <w:bookmarkStart w:id="111" w:name="_Toc224458925"/>
      <w:r>
        <w:t>appendices</w:t>
      </w:r>
      <w:bookmarkEnd w:id="111"/>
    </w:p>
    <w:p w14:paraId="20EE957D" w14:textId="77777777" w:rsidR="00410075" w:rsidRDefault="00410075" w:rsidP="00410075">
      <w:pPr>
        <w:pStyle w:val="Heading2"/>
      </w:pPr>
      <w:bookmarkStart w:id="112" w:name="_Toc224458926"/>
      <w:r>
        <w:t>Appendix A: Title of Appendix</w:t>
      </w:r>
      <w:bookmarkEnd w:id="112"/>
    </w:p>
    <w:p w14:paraId="7BE9A5C3" w14:textId="77777777" w:rsidR="00410075" w:rsidRDefault="00410075" w:rsidP="00410075"/>
    <w:p w14:paraId="4D89235F" w14:textId="77777777" w:rsidR="00410075" w:rsidRDefault="00410075" w:rsidP="00410075">
      <w:pPr>
        <w:jc w:val="center"/>
      </w:pPr>
      <w:r>
        <w:t>If only one appendix:</w:t>
      </w:r>
    </w:p>
    <w:p w14:paraId="211EE554" w14:textId="77777777" w:rsidR="00410075" w:rsidRDefault="00410075" w:rsidP="00410075">
      <w:pPr>
        <w:jc w:val="center"/>
      </w:pPr>
      <w:r>
        <w:t>APPENDIX:  Title of Appendix</w:t>
      </w:r>
    </w:p>
    <w:p w14:paraId="39509DFC" w14:textId="77777777" w:rsidR="00410075" w:rsidRDefault="00410075" w:rsidP="00410075">
      <w:r>
        <w:br w:type="page"/>
      </w:r>
    </w:p>
    <w:p w14:paraId="64C9978C" w14:textId="77777777" w:rsidR="00410075" w:rsidRDefault="00410075" w:rsidP="00410075">
      <w:pPr>
        <w:pStyle w:val="Heading1"/>
      </w:pPr>
      <w:bookmarkStart w:id="113" w:name="_Toc224458927"/>
      <w:r>
        <w:lastRenderedPageBreak/>
        <w:t>VITA</w:t>
      </w:r>
      <w:bookmarkEnd w:id="113"/>
    </w:p>
    <w:p w14:paraId="24C7CF3F" w14:textId="29DDB8A0" w:rsidR="00410075" w:rsidRDefault="0004797D" w:rsidP="00410075">
      <w:pPr>
        <w:jc w:val="center"/>
      </w:pPr>
      <w:r>
        <w:t>MISTY PETERS</w:t>
      </w:r>
    </w:p>
    <w:p w14:paraId="20666141" w14:textId="7BEFA1C3" w:rsidR="00C97282" w:rsidRDefault="00410075" w:rsidP="00410075">
      <w:pPr>
        <w:pStyle w:val="CM44"/>
        <w:spacing w:after="0" w:line="480" w:lineRule="auto"/>
        <w:ind w:left="2880" w:hanging="2880"/>
      </w:pPr>
      <w:r>
        <w:t xml:space="preserve">Education: </w:t>
      </w:r>
      <w:r>
        <w:tab/>
      </w:r>
      <w:r w:rsidR="00D233E0">
        <w:t>Ed</w:t>
      </w:r>
      <w:r w:rsidR="00C97282">
        <w:t xml:space="preserve">.D. </w:t>
      </w:r>
      <w:r w:rsidR="00D233E0">
        <w:t>Educational Leadership</w:t>
      </w:r>
      <w:r w:rsidR="00C97282">
        <w:t xml:space="preserve">, East Tennessee State University, </w:t>
      </w:r>
    </w:p>
    <w:p w14:paraId="12ADCB64" w14:textId="15D7D601" w:rsidR="00C97282" w:rsidRDefault="00C97282" w:rsidP="00C97282">
      <w:pPr>
        <w:pStyle w:val="CM44"/>
        <w:spacing w:after="0" w:line="480" w:lineRule="auto"/>
        <w:ind w:left="2880" w:firstLine="720"/>
      </w:pPr>
      <w:r>
        <w:t>Johnson City, Tennessee, 202</w:t>
      </w:r>
      <w:r w:rsidR="00D233E0">
        <w:t>5</w:t>
      </w:r>
    </w:p>
    <w:p w14:paraId="30606776" w14:textId="5C93060C" w:rsidR="00410075" w:rsidRDefault="00410075" w:rsidP="00C97282">
      <w:pPr>
        <w:pStyle w:val="CM44"/>
        <w:spacing w:after="0" w:line="480" w:lineRule="auto"/>
        <w:ind w:left="2880"/>
      </w:pPr>
      <w:r>
        <w:t xml:space="preserve">M.S. </w:t>
      </w:r>
      <w:r w:rsidR="00D233E0">
        <w:t>Agriculture</w:t>
      </w:r>
      <w:r>
        <w:t xml:space="preserve">, </w:t>
      </w:r>
      <w:r w:rsidR="00D233E0">
        <w:t xml:space="preserve">University of </w:t>
      </w:r>
      <w:r>
        <w:t xml:space="preserve">Tennessee, </w:t>
      </w:r>
      <w:r w:rsidR="00D233E0">
        <w:t>Knoxville,</w:t>
      </w:r>
    </w:p>
    <w:p w14:paraId="7D6DF32E" w14:textId="7D1E8B85" w:rsidR="00410075" w:rsidRDefault="00410075" w:rsidP="00FB682B">
      <w:pPr>
        <w:pStyle w:val="Default"/>
        <w:spacing w:line="480" w:lineRule="auto"/>
        <w:ind w:left="3600" w:hanging="3600"/>
      </w:pPr>
      <w:r>
        <w:tab/>
        <w:t>Tennessee, 20</w:t>
      </w:r>
      <w:r w:rsidR="00D233E0">
        <w:t>07</w:t>
      </w:r>
    </w:p>
    <w:p w14:paraId="7E171954" w14:textId="006B557F" w:rsidR="00410075" w:rsidRDefault="00410075" w:rsidP="005E0122">
      <w:pPr>
        <w:pStyle w:val="CM44"/>
        <w:spacing w:after="0" w:line="480" w:lineRule="auto"/>
        <w:ind w:left="2880"/>
      </w:pPr>
      <w:r>
        <w:t>B.</w:t>
      </w:r>
      <w:r w:rsidR="00D233E0">
        <w:t>S</w:t>
      </w:r>
      <w:r>
        <w:t xml:space="preserve">. </w:t>
      </w:r>
      <w:r w:rsidR="00D233E0">
        <w:t>Agriculture</w:t>
      </w:r>
      <w:r>
        <w:t xml:space="preserve">, </w:t>
      </w:r>
      <w:r w:rsidR="00D233E0">
        <w:t>University of Tennessee</w:t>
      </w:r>
      <w:r>
        <w:t xml:space="preserve">, </w:t>
      </w:r>
      <w:r w:rsidR="00D233E0">
        <w:t>Knoxville,</w:t>
      </w:r>
      <w:r>
        <w:t xml:space="preserve"> </w:t>
      </w:r>
    </w:p>
    <w:p w14:paraId="72D414A9" w14:textId="098B065E" w:rsidR="00410075" w:rsidRDefault="00410075" w:rsidP="00FB682B">
      <w:pPr>
        <w:pStyle w:val="Default"/>
        <w:spacing w:line="480" w:lineRule="auto"/>
        <w:ind w:left="3600" w:hanging="3600"/>
      </w:pPr>
      <w:r>
        <w:tab/>
        <w:t>Tennessee, 20</w:t>
      </w:r>
      <w:r w:rsidR="00323845">
        <w:t>0</w:t>
      </w:r>
      <w:r w:rsidR="00570326">
        <w:t>2</w:t>
      </w:r>
    </w:p>
    <w:p w14:paraId="4ACFEB83" w14:textId="77777777" w:rsidR="005E0122" w:rsidRDefault="00410075" w:rsidP="00D233E0">
      <w:pPr>
        <w:pStyle w:val="CM44"/>
        <w:spacing w:after="0" w:line="480" w:lineRule="auto"/>
        <w:ind w:left="2880" w:hanging="2880"/>
      </w:pPr>
      <w:r>
        <w:t xml:space="preserve">Professional Experience: </w:t>
      </w:r>
      <w:r>
        <w:tab/>
      </w:r>
      <w:r w:rsidR="00D233E0" w:rsidRPr="00963AD7">
        <w:t>Associate Professor of Agriculture</w:t>
      </w:r>
      <w:r w:rsidRPr="00963AD7">
        <w:t xml:space="preserve">, </w:t>
      </w:r>
      <w:r w:rsidR="00D233E0" w:rsidRPr="00963AD7">
        <w:t>Walters State Community</w:t>
      </w:r>
    </w:p>
    <w:p w14:paraId="4D297EA5" w14:textId="0011ED79" w:rsidR="00410075" w:rsidRPr="00323845" w:rsidRDefault="00D233E0" w:rsidP="005E0122">
      <w:pPr>
        <w:pStyle w:val="CM44"/>
        <w:spacing w:after="0" w:line="480" w:lineRule="auto"/>
        <w:ind w:left="3600"/>
        <w:rPr>
          <w:highlight w:val="yellow"/>
        </w:rPr>
      </w:pPr>
      <w:r w:rsidRPr="00963AD7">
        <w:t>College</w:t>
      </w:r>
      <w:r w:rsidR="0004797D">
        <w:t>,</w:t>
      </w:r>
      <w:r w:rsidR="00410075" w:rsidRPr="00963AD7">
        <w:t xml:space="preserve"> </w:t>
      </w:r>
      <w:r w:rsidRPr="00963AD7">
        <w:t>Morristown</w:t>
      </w:r>
      <w:r w:rsidR="00410075" w:rsidRPr="00963AD7">
        <w:t>, Tennessee, 20</w:t>
      </w:r>
      <w:r w:rsidRPr="00963AD7">
        <w:t>16</w:t>
      </w:r>
      <w:r w:rsidR="00410075" w:rsidRPr="00963AD7">
        <w:t>-</w:t>
      </w:r>
      <w:r w:rsidRPr="00963AD7">
        <w:t>current</w:t>
      </w:r>
      <w:r w:rsidR="00410075" w:rsidRPr="00963AD7">
        <w:t xml:space="preserve">  </w:t>
      </w:r>
    </w:p>
    <w:p w14:paraId="46FD8B27" w14:textId="5608E637" w:rsidR="00410075" w:rsidRPr="00963AD7" w:rsidRDefault="00323845" w:rsidP="005E0122">
      <w:pPr>
        <w:pStyle w:val="Default"/>
        <w:spacing w:line="480" w:lineRule="auto"/>
        <w:ind w:left="3600" w:hanging="720"/>
      </w:pPr>
      <w:r w:rsidRPr="00963AD7">
        <w:t>Adjunct Professor</w:t>
      </w:r>
      <w:r w:rsidR="00410075" w:rsidRPr="00963AD7">
        <w:t xml:space="preserve">, </w:t>
      </w:r>
      <w:r w:rsidRPr="00963AD7">
        <w:t>Walters State Community College</w:t>
      </w:r>
      <w:r w:rsidR="0004797D">
        <w:t>,</w:t>
      </w:r>
      <w:r w:rsidR="00410075" w:rsidRPr="00963AD7">
        <w:t xml:space="preserve"> </w:t>
      </w:r>
      <w:r w:rsidRPr="00963AD7">
        <w:t>Morristown, Tennessee</w:t>
      </w:r>
      <w:r w:rsidR="00410075" w:rsidRPr="00963AD7">
        <w:t>, 201</w:t>
      </w:r>
      <w:r w:rsidRPr="00963AD7">
        <w:t>0</w:t>
      </w:r>
      <w:r w:rsidR="00410075" w:rsidRPr="00963AD7">
        <w:t>-201</w:t>
      </w:r>
      <w:r w:rsidR="00D233E0" w:rsidRPr="00963AD7">
        <w:t>6</w:t>
      </w:r>
    </w:p>
    <w:p w14:paraId="07B00DAE" w14:textId="77777777" w:rsidR="005E0122" w:rsidRDefault="00963AD7" w:rsidP="005E0122">
      <w:pPr>
        <w:pStyle w:val="Default"/>
        <w:spacing w:line="480" w:lineRule="auto"/>
        <w:ind w:left="2880"/>
      </w:pPr>
      <w:r w:rsidRPr="00963AD7">
        <w:t xml:space="preserve">Agriculture </w:t>
      </w:r>
      <w:r w:rsidR="00323845" w:rsidRPr="00963AD7">
        <w:t>Teacher</w:t>
      </w:r>
      <w:r w:rsidR="00D233E0" w:rsidRPr="00963AD7">
        <w:t xml:space="preserve">, </w:t>
      </w:r>
      <w:r w:rsidRPr="00963AD7">
        <w:t>Northview Academy</w:t>
      </w:r>
      <w:r w:rsidR="0004797D">
        <w:t>,</w:t>
      </w:r>
      <w:r w:rsidRPr="00963AD7">
        <w:t xml:space="preserve">  </w:t>
      </w:r>
    </w:p>
    <w:p w14:paraId="0876367E" w14:textId="0DD6E230" w:rsidR="00D233E0" w:rsidRPr="00963AD7" w:rsidRDefault="00963AD7" w:rsidP="005E0122">
      <w:pPr>
        <w:pStyle w:val="Default"/>
        <w:spacing w:line="480" w:lineRule="auto"/>
        <w:ind w:left="3600"/>
      </w:pPr>
      <w:r w:rsidRPr="00963AD7">
        <w:t>Kodak, Tennessee, 2013-2016</w:t>
      </w:r>
      <w:r w:rsidR="00D233E0" w:rsidRPr="00963AD7">
        <w:t xml:space="preserve"> </w:t>
      </w:r>
    </w:p>
    <w:p w14:paraId="58443628" w14:textId="77777777" w:rsidR="00205808" w:rsidRDefault="00963AD7" w:rsidP="00205808">
      <w:pPr>
        <w:pStyle w:val="Default"/>
        <w:spacing w:line="480" w:lineRule="auto"/>
        <w:ind w:left="2880"/>
      </w:pPr>
      <w:r w:rsidRPr="00963AD7">
        <w:t>Agriculture Teacher, Sevier County High School</w:t>
      </w:r>
      <w:r w:rsidR="0004797D">
        <w:t>,</w:t>
      </w:r>
      <w:r w:rsidRPr="00963AD7">
        <w:t xml:space="preserve"> </w:t>
      </w:r>
      <w:r w:rsidR="0004797D">
        <w:t>Sevierville</w:t>
      </w:r>
      <w:r w:rsidRPr="00963AD7">
        <w:t>,</w:t>
      </w:r>
    </w:p>
    <w:p w14:paraId="4CD67761" w14:textId="7A2663F3" w:rsidR="00963AD7" w:rsidRDefault="00963AD7" w:rsidP="00205808">
      <w:pPr>
        <w:pStyle w:val="Default"/>
        <w:spacing w:line="480" w:lineRule="auto"/>
        <w:ind w:left="3600"/>
      </w:pPr>
      <w:r w:rsidRPr="00963AD7">
        <w:t>Tennessee, 20</w:t>
      </w:r>
      <w:r w:rsidR="0004797D">
        <w:t>04</w:t>
      </w:r>
      <w:r w:rsidRPr="00963AD7">
        <w:t>-201</w:t>
      </w:r>
      <w:r>
        <w:t>3</w:t>
      </w:r>
      <w:r w:rsidRPr="00963AD7">
        <w:t xml:space="preserve"> </w:t>
      </w:r>
    </w:p>
    <w:p w14:paraId="36A36DFE" w14:textId="77777777" w:rsidR="00061D8F" w:rsidRDefault="0004797D" w:rsidP="00061D8F">
      <w:pPr>
        <w:pStyle w:val="Default"/>
        <w:spacing w:line="480" w:lineRule="auto"/>
        <w:ind w:left="2880"/>
      </w:pPr>
      <w:r w:rsidRPr="0004797D">
        <w:t xml:space="preserve">Agriculture Teacher, Bradley Central High School, </w:t>
      </w:r>
    </w:p>
    <w:p w14:paraId="4B9E06C3" w14:textId="266ABE7B" w:rsidR="00D233E0" w:rsidRPr="009619C3" w:rsidRDefault="0004797D" w:rsidP="00061D8F">
      <w:pPr>
        <w:pStyle w:val="Default"/>
        <w:spacing w:line="480" w:lineRule="auto"/>
        <w:ind w:left="3600"/>
      </w:pPr>
      <w:r w:rsidRPr="0004797D">
        <w:t>Cleveland, Tennessee, 20</w:t>
      </w:r>
      <w:r>
        <w:t>0</w:t>
      </w:r>
      <w:r w:rsidRPr="0004797D">
        <w:t>3-20</w:t>
      </w:r>
      <w:r>
        <w:t>04</w:t>
      </w:r>
    </w:p>
    <w:p w14:paraId="1B6C508C" w14:textId="18FDFDA1" w:rsidR="00410075" w:rsidRDefault="00410075" w:rsidP="00410075">
      <w:pPr>
        <w:pStyle w:val="CM44"/>
        <w:spacing w:after="0" w:line="480" w:lineRule="auto"/>
        <w:ind w:left="2880" w:hanging="2880"/>
      </w:pPr>
      <w:r>
        <w:t xml:space="preserve">Honors and Awards: </w:t>
      </w:r>
      <w:r>
        <w:tab/>
      </w:r>
      <w:r w:rsidR="00BB057A">
        <w:t>Distinguished Faculty Member Award, WSCC</w:t>
      </w:r>
    </w:p>
    <w:p w14:paraId="27DBF071" w14:textId="62D5A114" w:rsidR="00BB057A" w:rsidRPr="00963AD7" w:rsidRDefault="00BB057A" w:rsidP="00061D8F">
      <w:pPr>
        <w:pStyle w:val="Default"/>
        <w:ind w:left="2880"/>
      </w:pPr>
      <w:r>
        <w:t>Good as Gold Faculty Member, WSCC</w:t>
      </w:r>
    </w:p>
    <w:p w14:paraId="7C15B111" w14:textId="3BA3E110" w:rsidR="00963AD7" w:rsidRPr="00963AD7" w:rsidRDefault="00963AD7" w:rsidP="00963AD7">
      <w:pPr>
        <w:pStyle w:val="Default"/>
      </w:pPr>
    </w:p>
    <w:p w14:paraId="255AB891" w14:textId="77777777" w:rsidR="00410075" w:rsidRDefault="00410075" w:rsidP="00410075">
      <w:pPr>
        <w:jc w:val="center"/>
      </w:pPr>
    </w:p>
    <w:p w14:paraId="246764E0" w14:textId="77777777" w:rsidR="00055595" w:rsidRDefault="00055595" w:rsidP="00410075">
      <w:pPr>
        <w:jc w:val="center"/>
      </w:pPr>
    </w:p>
    <w:p w14:paraId="3EA9EA27" w14:textId="77777777" w:rsidR="00055595" w:rsidRPr="00410075" w:rsidRDefault="00055595" w:rsidP="004F43F7"/>
    <w:sectPr w:rsidR="00055595" w:rsidRPr="00410075" w:rsidSect="003E4471">
      <w:footerReference w:type="default" r:id="rId1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1579B" w14:textId="77777777" w:rsidR="00E925B9" w:rsidRDefault="00E925B9" w:rsidP="00E7605E">
      <w:pPr>
        <w:spacing w:line="240" w:lineRule="auto"/>
      </w:pPr>
      <w:r>
        <w:separator/>
      </w:r>
    </w:p>
  </w:endnote>
  <w:endnote w:type="continuationSeparator" w:id="0">
    <w:p w14:paraId="65EF4525" w14:textId="77777777" w:rsidR="00E925B9" w:rsidRDefault="00E925B9" w:rsidP="00E760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845340"/>
      <w:docPartObj>
        <w:docPartGallery w:val="Page Numbers (Bottom of Page)"/>
        <w:docPartUnique/>
      </w:docPartObj>
    </w:sdtPr>
    <w:sdtEndPr>
      <w:rPr>
        <w:noProof/>
      </w:rPr>
    </w:sdtEndPr>
    <w:sdtContent>
      <w:p w14:paraId="58FC5283" w14:textId="77777777" w:rsidR="00E925B9" w:rsidRDefault="00E92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F6522A" w14:textId="77777777" w:rsidR="00E925B9" w:rsidRDefault="00E92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92BD5" w14:textId="77777777" w:rsidR="00E925B9" w:rsidRDefault="00E925B9" w:rsidP="00E7605E">
      <w:pPr>
        <w:spacing w:line="240" w:lineRule="auto"/>
      </w:pPr>
      <w:r>
        <w:separator/>
      </w:r>
    </w:p>
  </w:footnote>
  <w:footnote w:type="continuationSeparator" w:id="0">
    <w:p w14:paraId="590D5B67" w14:textId="77777777" w:rsidR="00E925B9" w:rsidRDefault="00E925B9" w:rsidP="00E760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0C3C"/>
    <w:multiLevelType w:val="hybridMultilevel"/>
    <w:tmpl w:val="0448AC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3C36A8"/>
    <w:multiLevelType w:val="hybridMultilevel"/>
    <w:tmpl w:val="6A86E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1B16"/>
    <w:multiLevelType w:val="hybridMultilevel"/>
    <w:tmpl w:val="92B0E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215E29"/>
    <w:multiLevelType w:val="hybridMultilevel"/>
    <w:tmpl w:val="329CD9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D3C04A6"/>
    <w:multiLevelType w:val="hybridMultilevel"/>
    <w:tmpl w:val="E424C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26A4C5D"/>
    <w:multiLevelType w:val="hybridMultilevel"/>
    <w:tmpl w:val="D79C26AA"/>
    <w:lvl w:ilvl="0" w:tplc="137491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5B4073F"/>
    <w:multiLevelType w:val="hybridMultilevel"/>
    <w:tmpl w:val="41FE4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6C6F42"/>
    <w:multiLevelType w:val="hybridMultilevel"/>
    <w:tmpl w:val="461C124C"/>
    <w:lvl w:ilvl="0" w:tplc="59548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3"/>
  </w:num>
  <w:num w:numId="4">
    <w:abstractNumId w:val="0"/>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37"/>
    <w:rsid w:val="000008A4"/>
    <w:rsid w:val="00000A0C"/>
    <w:rsid w:val="00000AE9"/>
    <w:rsid w:val="000023F6"/>
    <w:rsid w:val="000042D2"/>
    <w:rsid w:val="000043F7"/>
    <w:rsid w:val="00004D91"/>
    <w:rsid w:val="00006A22"/>
    <w:rsid w:val="000108F1"/>
    <w:rsid w:val="00011E5B"/>
    <w:rsid w:val="00012B9C"/>
    <w:rsid w:val="00015B0D"/>
    <w:rsid w:val="00015CD1"/>
    <w:rsid w:val="000176F6"/>
    <w:rsid w:val="00017EFE"/>
    <w:rsid w:val="000203D8"/>
    <w:rsid w:val="00021ADB"/>
    <w:rsid w:val="00021CCC"/>
    <w:rsid w:val="000232E0"/>
    <w:rsid w:val="000234F6"/>
    <w:rsid w:val="000259EC"/>
    <w:rsid w:val="00025E1B"/>
    <w:rsid w:val="00026056"/>
    <w:rsid w:val="00026251"/>
    <w:rsid w:val="000262CA"/>
    <w:rsid w:val="00026AE9"/>
    <w:rsid w:val="00026EAC"/>
    <w:rsid w:val="00031998"/>
    <w:rsid w:val="000338A8"/>
    <w:rsid w:val="00033A65"/>
    <w:rsid w:val="0003710E"/>
    <w:rsid w:val="000373C7"/>
    <w:rsid w:val="00037BF1"/>
    <w:rsid w:val="000402DA"/>
    <w:rsid w:val="000429FD"/>
    <w:rsid w:val="00043102"/>
    <w:rsid w:val="0004401E"/>
    <w:rsid w:val="00044CBA"/>
    <w:rsid w:val="000462F8"/>
    <w:rsid w:val="00046736"/>
    <w:rsid w:val="00046FD9"/>
    <w:rsid w:val="00047214"/>
    <w:rsid w:val="00047617"/>
    <w:rsid w:val="00047796"/>
    <w:rsid w:val="0004797D"/>
    <w:rsid w:val="0005081F"/>
    <w:rsid w:val="00051151"/>
    <w:rsid w:val="0005157A"/>
    <w:rsid w:val="0005215B"/>
    <w:rsid w:val="00052453"/>
    <w:rsid w:val="00052E06"/>
    <w:rsid w:val="00052F90"/>
    <w:rsid w:val="000547FB"/>
    <w:rsid w:val="00055358"/>
    <w:rsid w:val="00055595"/>
    <w:rsid w:val="0005580A"/>
    <w:rsid w:val="00055BBC"/>
    <w:rsid w:val="00057007"/>
    <w:rsid w:val="00057CB4"/>
    <w:rsid w:val="00057E13"/>
    <w:rsid w:val="00057FA7"/>
    <w:rsid w:val="0006017F"/>
    <w:rsid w:val="00061406"/>
    <w:rsid w:val="00061D8F"/>
    <w:rsid w:val="00063DD1"/>
    <w:rsid w:val="00063FC1"/>
    <w:rsid w:val="00065DD6"/>
    <w:rsid w:val="000666A7"/>
    <w:rsid w:val="00066BBB"/>
    <w:rsid w:val="000674F6"/>
    <w:rsid w:val="00070563"/>
    <w:rsid w:val="000709E6"/>
    <w:rsid w:val="0007153E"/>
    <w:rsid w:val="00073244"/>
    <w:rsid w:val="000733EC"/>
    <w:rsid w:val="00073C80"/>
    <w:rsid w:val="00073FAF"/>
    <w:rsid w:val="000744EE"/>
    <w:rsid w:val="00074677"/>
    <w:rsid w:val="0007546C"/>
    <w:rsid w:val="0007599D"/>
    <w:rsid w:val="00077970"/>
    <w:rsid w:val="00077D93"/>
    <w:rsid w:val="00080A7C"/>
    <w:rsid w:val="00081383"/>
    <w:rsid w:val="0008207E"/>
    <w:rsid w:val="00082D90"/>
    <w:rsid w:val="00084310"/>
    <w:rsid w:val="00084B71"/>
    <w:rsid w:val="0008556C"/>
    <w:rsid w:val="0008591D"/>
    <w:rsid w:val="00085BF2"/>
    <w:rsid w:val="00086837"/>
    <w:rsid w:val="000878E0"/>
    <w:rsid w:val="0009059F"/>
    <w:rsid w:val="00090C21"/>
    <w:rsid w:val="00090F3F"/>
    <w:rsid w:val="00091402"/>
    <w:rsid w:val="000929E2"/>
    <w:rsid w:val="000933A7"/>
    <w:rsid w:val="000937D8"/>
    <w:rsid w:val="00093FCB"/>
    <w:rsid w:val="00095252"/>
    <w:rsid w:val="00095AAB"/>
    <w:rsid w:val="00096247"/>
    <w:rsid w:val="000974C7"/>
    <w:rsid w:val="00097502"/>
    <w:rsid w:val="00097E3F"/>
    <w:rsid w:val="000A08E4"/>
    <w:rsid w:val="000A0AEC"/>
    <w:rsid w:val="000A1EA4"/>
    <w:rsid w:val="000A1F0A"/>
    <w:rsid w:val="000A21F0"/>
    <w:rsid w:val="000A3248"/>
    <w:rsid w:val="000A3CE5"/>
    <w:rsid w:val="000A4042"/>
    <w:rsid w:val="000A4508"/>
    <w:rsid w:val="000A4F63"/>
    <w:rsid w:val="000A5640"/>
    <w:rsid w:val="000A6234"/>
    <w:rsid w:val="000A6E6C"/>
    <w:rsid w:val="000A74B3"/>
    <w:rsid w:val="000A7805"/>
    <w:rsid w:val="000A783A"/>
    <w:rsid w:val="000A7C01"/>
    <w:rsid w:val="000B4029"/>
    <w:rsid w:val="000B5BB1"/>
    <w:rsid w:val="000B6A7E"/>
    <w:rsid w:val="000B6ACC"/>
    <w:rsid w:val="000B7461"/>
    <w:rsid w:val="000C0604"/>
    <w:rsid w:val="000C0E0B"/>
    <w:rsid w:val="000C10A8"/>
    <w:rsid w:val="000C328C"/>
    <w:rsid w:val="000C35E9"/>
    <w:rsid w:val="000C3F99"/>
    <w:rsid w:val="000C4D1B"/>
    <w:rsid w:val="000C552E"/>
    <w:rsid w:val="000C6CA1"/>
    <w:rsid w:val="000D0428"/>
    <w:rsid w:val="000D1E2C"/>
    <w:rsid w:val="000D46CC"/>
    <w:rsid w:val="000D5726"/>
    <w:rsid w:val="000D69D7"/>
    <w:rsid w:val="000D6A4C"/>
    <w:rsid w:val="000D6D3E"/>
    <w:rsid w:val="000D7274"/>
    <w:rsid w:val="000E2A7A"/>
    <w:rsid w:val="000E3AD3"/>
    <w:rsid w:val="000E42A8"/>
    <w:rsid w:val="000E4D51"/>
    <w:rsid w:val="000F0ED2"/>
    <w:rsid w:val="000F1549"/>
    <w:rsid w:val="000F2118"/>
    <w:rsid w:val="000F2353"/>
    <w:rsid w:val="000F315A"/>
    <w:rsid w:val="000F4911"/>
    <w:rsid w:val="000F5731"/>
    <w:rsid w:val="00100BC2"/>
    <w:rsid w:val="0010417A"/>
    <w:rsid w:val="00104566"/>
    <w:rsid w:val="00105794"/>
    <w:rsid w:val="00105879"/>
    <w:rsid w:val="00106023"/>
    <w:rsid w:val="00106A2C"/>
    <w:rsid w:val="00111210"/>
    <w:rsid w:val="00111F2A"/>
    <w:rsid w:val="001123BA"/>
    <w:rsid w:val="00112CD8"/>
    <w:rsid w:val="00113BBA"/>
    <w:rsid w:val="00113F36"/>
    <w:rsid w:val="00114011"/>
    <w:rsid w:val="001145B2"/>
    <w:rsid w:val="00116B95"/>
    <w:rsid w:val="00116CC6"/>
    <w:rsid w:val="00121510"/>
    <w:rsid w:val="00121891"/>
    <w:rsid w:val="001224EF"/>
    <w:rsid w:val="0012256D"/>
    <w:rsid w:val="001230E3"/>
    <w:rsid w:val="00124E6A"/>
    <w:rsid w:val="00125AC4"/>
    <w:rsid w:val="00127357"/>
    <w:rsid w:val="00130975"/>
    <w:rsid w:val="00131E59"/>
    <w:rsid w:val="001326DD"/>
    <w:rsid w:val="0013432A"/>
    <w:rsid w:val="00134708"/>
    <w:rsid w:val="00135782"/>
    <w:rsid w:val="00135A31"/>
    <w:rsid w:val="00135B8B"/>
    <w:rsid w:val="00137A17"/>
    <w:rsid w:val="00141FBE"/>
    <w:rsid w:val="001441B5"/>
    <w:rsid w:val="00144A16"/>
    <w:rsid w:val="001459EF"/>
    <w:rsid w:val="00145FFD"/>
    <w:rsid w:val="0014740E"/>
    <w:rsid w:val="00152898"/>
    <w:rsid w:val="00154509"/>
    <w:rsid w:val="00154648"/>
    <w:rsid w:val="001547AF"/>
    <w:rsid w:val="00155477"/>
    <w:rsid w:val="00156C6D"/>
    <w:rsid w:val="00157274"/>
    <w:rsid w:val="00157E10"/>
    <w:rsid w:val="00163C15"/>
    <w:rsid w:val="00166452"/>
    <w:rsid w:val="00167ABE"/>
    <w:rsid w:val="00167C8C"/>
    <w:rsid w:val="001701B2"/>
    <w:rsid w:val="001704BD"/>
    <w:rsid w:val="00176983"/>
    <w:rsid w:val="00177845"/>
    <w:rsid w:val="00180041"/>
    <w:rsid w:val="00181163"/>
    <w:rsid w:val="00182A86"/>
    <w:rsid w:val="00182E1B"/>
    <w:rsid w:val="001831F0"/>
    <w:rsid w:val="00185B6E"/>
    <w:rsid w:val="00186072"/>
    <w:rsid w:val="00186B79"/>
    <w:rsid w:val="00187548"/>
    <w:rsid w:val="0018773C"/>
    <w:rsid w:val="001877C2"/>
    <w:rsid w:val="001878E9"/>
    <w:rsid w:val="00190076"/>
    <w:rsid w:val="00190C58"/>
    <w:rsid w:val="0019138D"/>
    <w:rsid w:val="00192503"/>
    <w:rsid w:val="00192820"/>
    <w:rsid w:val="001928F3"/>
    <w:rsid w:val="00193C8F"/>
    <w:rsid w:val="001944ED"/>
    <w:rsid w:val="00195D5F"/>
    <w:rsid w:val="001965BA"/>
    <w:rsid w:val="0019694F"/>
    <w:rsid w:val="00196C11"/>
    <w:rsid w:val="00197053"/>
    <w:rsid w:val="001A099A"/>
    <w:rsid w:val="001A1721"/>
    <w:rsid w:val="001A1C88"/>
    <w:rsid w:val="001A2F1D"/>
    <w:rsid w:val="001A3134"/>
    <w:rsid w:val="001A3AE6"/>
    <w:rsid w:val="001A4BC9"/>
    <w:rsid w:val="001A648A"/>
    <w:rsid w:val="001A7BF5"/>
    <w:rsid w:val="001A7D74"/>
    <w:rsid w:val="001A7FF3"/>
    <w:rsid w:val="001B10B9"/>
    <w:rsid w:val="001B156B"/>
    <w:rsid w:val="001B16C5"/>
    <w:rsid w:val="001B24FE"/>
    <w:rsid w:val="001B2805"/>
    <w:rsid w:val="001B30A2"/>
    <w:rsid w:val="001B3A7C"/>
    <w:rsid w:val="001B530B"/>
    <w:rsid w:val="001B6442"/>
    <w:rsid w:val="001B7084"/>
    <w:rsid w:val="001C07F5"/>
    <w:rsid w:val="001C1D31"/>
    <w:rsid w:val="001C27E7"/>
    <w:rsid w:val="001C2CF8"/>
    <w:rsid w:val="001C36D7"/>
    <w:rsid w:val="001C42C3"/>
    <w:rsid w:val="001C46C2"/>
    <w:rsid w:val="001C5AB4"/>
    <w:rsid w:val="001C6343"/>
    <w:rsid w:val="001C6EBB"/>
    <w:rsid w:val="001C7986"/>
    <w:rsid w:val="001C7BC1"/>
    <w:rsid w:val="001D08C6"/>
    <w:rsid w:val="001D0B72"/>
    <w:rsid w:val="001D1172"/>
    <w:rsid w:val="001D1577"/>
    <w:rsid w:val="001D19F0"/>
    <w:rsid w:val="001D3133"/>
    <w:rsid w:val="001D3FD5"/>
    <w:rsid w:val="001D4695"/>
    <w:rsid w:val="001D5213"/>
    <w:rsid w:val="001D63A7"/>
    <w:rsid w:val="001D7D72"/>
    <w:rsid w:val="001D7F2C"/>
    <w:rsid w:val="001E018D"/>
    <w:rsid w:val="001E02F9"/>
    <w:rsid w:val="001E1153"/>
    <w:rsid w:val="001E12E4"/>
    <w:rsid w:val="001E2010"/>
    <w:rsid w:val="001E238B"/>
    <w:rsid w:val="001E2470"/>
    <w:rsid w:val="001E2D9B"/>
    <w:rsid w:val="001E3849"/>
    <w:rsid w:val="001E3EB1"/>
    <w:rsid w:val="001E428D"/>
    <w:rsid w:val="001E467D"/>
    <w:rsid w:val="001E7D11"/>
    <w:rsid w:val="001F0C31"/>
    <w:rsid w:val="001F0E4A"/>
    <w:rsid w:val="001F2032"/>
    <w:rsid w:val="00200C51"/>
    <w:rsid w:val="002015D0"/>
    <w:rsid w:val="00201978"/>
    <w:rsid w:val="0020277E"/>
    <w:rsid w:val="00202888"/>
    <w:rsid w:val="00203392"/>
    <w:rsid w:val="0020411D"/>
    <w:rsid w:val="00204768"/>
    <w:rsid w:val="00204BF3"/>
    <w:rsid w:val="00204C52"/>
    <w:rsid w:val="00205808"/>
    <w:rsid w:val="002061A8"/>
    <w:rsid w:val="002064B4"/>
    <w:rsid w:val="00210526"/>
    <w:rsid w:val="002124D8"/>
    <w:rsid w:val="00215EF6"/>
    <w:rsid w:val="00216C3A"/>
    <w:rsid w:val="002201EF"/>
    <w:rsid w:val="00220827"/>
    <w:rsid w:val="0022110B"/>
    <w:rsid w:val="00223B4A"/>
    <w:rsid w:val="00224740"/>
    <w:rsid w:val="00224816"/>
    <w:rsid w:val="00224B55"/>
    <w:rsid w:val="002255AF"/>
    <w:rsid w:val="0022626D"/>
    <w:rsid w:val="00227AF8"/>
    <w:rsid w:val="00231B9D"/>
    <w:rsid w:val="0023211B"/>
    <w:rsid w:val="00232B26"/>
    <w:rsid w:val="0023316E"/>
    <w:rsid w:val="002334B2"/>
    <w:rsid w:val="00233E3B"/>
    <w:rsid w:val="00234182"/>
    <w:rsid w:val="00234829"/>
    <w:rsid w:val="00234D0B"/>
    <w:rsid w:val="00234DA6"/>
    <w:rsid w:val="002354F8"/>
    <w:rsid w:val="002359B0"/>
    <w:rsid w:val="00236018"/>
    <w:rsid w:val="00236069"/>
    <w:rsid w:val="002364BE"/>
    <w:rsid w:val="00236FDB"/>
    <w:rsid w:val="00240611"/>
    <w:rsid w:val="0024148B"/>
    <w:rsid w:val="002426FD"/>
    <w:rsid w:val="002433A6"/>
    <w:rsid w:val="002442E3"/>
    <w:rsid w:val="00245B2A"/>
    <w:rsid w:val="00246035"/>
    <w:rsid w:val="002460F9"/>
    <w:rsid w:val="00246780"/>
    <w:rsid w:val="00246BCD"/>
    <w:rsid w:val="00247C9F"/>
    <w:rsid w:val="00247E91"/>
    <w:rsid w:val="0025017B"/>
    <w:rsid w:val="002525BA"/>
    <w:rsid w:val="002526B8"/>
    <w:rsid w:val="00253D0C"/>
    <w:rsid w:val="00253D3E"/>
    <w:rsid w:val="00254224"/>
    <w:rsid w:val="00260899"/>
    <w:rsid w:val="00260919"/>
    <w:rsid w:val="002622A5"/>
    <w:rsid w:val="002624F4"/>
    <w:rsid w:val="00262C9F"/>
    <w:rsid w:val="00264419"/>
    <w:rsid w:val="00264441"/>
    <w:rsid w:val="00264F58"/>
    <w:rsid w:val="00265223"/>
    <w:rsid w:val="002655E9"/>
    <w:rsid w:val="00265B24"/>
    <w:rsid w:val="00265CE5"/>
    <w:rsid w:val="00266947"/>
    <w:rsid w:val="0027008F"/>
    <w:rsid w:val="002702B6"/>
    <w:rsid w:val="00272223"/>
    <w:rsid w:val="002724B3"/>
    <w:rsid w:val="0027396C"/>
    <w:rsid w:val="00273EBE"/>
    <w:rsid w:val="00275A8D"/>
    <w:rsid w:val="00275BE2"/>
    <w:rsid w:val="00276432"/>
    <w:rsid w:val="00280C97"/>
    <w:rsid w:val="00282198"/>
    <w:rsid w:val="002829D4"/>
    <w:rsid w:val="00283A2B"/>
    <w:rsid w:val="00285CD0"/>
    <w:rsid w:val="00286339"/>
    <w:rsid w:val="00286357"/>
    <w:rsid w:val="00286BDB"/>
    <w:rsid w:val="00286F03"/>
    <w:rsid w:val="00287C08"/>
    <w:rsid w:val="002903AD"/>
    <w:rsid w:val="002903C7"/>
    <w:rsid w:val="00290AAC"/>
    <w:rsid w:val="00291504"/>
    <w:rsid w:val="00291B57"/>
    <w:rsid w:val="002925B5"/>
    <w:rsid w:val="00292A3B"/>
    <w:rsid w:val="002953A7"/>
    <w:rsid w:val="0029562B"/>
    <w:rsid w:val="00295A8A"/>
    <w:rsid w:val="002962C4"/>
    <w:rsid w:val="00296919"/>
    <w:rsid w:val="0029703C"/>
    <w:rsid w:val="002A11EA"/>
    <w:rsid w:val="002A16D1"/>
    <w:rsid w:val="002A36AE"/>
    <w:rsid w:val="002A46F0"/>
    <w:rsid w:val="002A5098"/>
    <w:rsid w:val="002A533F"/>
    <w:rsid w:val="002A58F7"/>
    <w:rsid w:val="002B14E3"/>
    <w:rsid w:val="002B26EE"/>
    <w:rsid w:val="002B44BE"/>
    <w:rsid w:val="002B6D2F"/>
    <w:rsid w:val="002C10E7"/>
    <w:rsid w:val="002C38B4"/>
    <w:rsid w:val="002C4C21"/>
    <w:rsid w:val="002C4EBC"/>
    <w:rsid w:val="002D39CD"/>
    <w:rsid w:val="002D527F"/>
    <w:rsid w:val="002D68FA"/>
    <w:rsid w:val="002D7389"/>
    <w:rsid w:val="002E0DAB"/>
    <w:rsid w:val="002E1300"/>
    <w:rsid w:val="002E30A2"/>
    <w:rsid w:val="002E49CF"/>
    <w:rsid w:val="002E73D3"/>
    <w:rsid w:val="002F0C06"/>
    <w:rsid w:val="002F1AF8"/>
    <w:rsid w:val="002F24BD"/>
    <w:rsid w:val="002F33BC"/>
    <w:rsid w:val="002F45E4"/>
    <w:rsid w:val="002F4839"/>
    <w:rsid w:val="002F5906"/>
    <w:rsid w:val="002F7B62"/>
    <w:rsid w:val="002F7D3C"/>
    <w:rsid w:val="002F7FB9"/>
    <w:rsid w:val="003019CC"/>
    <w:rsid w:val="00301DE2"/>
    <w:rsid w:val="00302D22"/>
    <w:rsid w:val="00305545"/>
    <w:rsid w:val="00305615"/>
    <w:rsid w:val="00305D6A"/>
    <w:rsid w:val="00306501"/>
    <w:rsid w:val="0030658A"/>
    <w:rsid w:val="00306CDE"/>
    <w:rsid w:val="00307FED"/>
    <w:rsid w:val="003102DB"/>
    <w:rsid w:val="00312D91"/>
    <w:rsid w:val="003150BB"/>
    <w:rsid w:val="00315481"/>
    <w:rsid w:val="003160D6"/>
    <w:rsid w:val="0031738A"/>
    <w:rsid w:val="003201A7"/>
    <w:rsid w:val="00320E5A"/>
    <w:rsid w:val="00322FA4"/>
    <w:rsid w:val="00323096"/>
    <w:rsid w:val="00323845"/>
    <w:rsid w:val="00325456"/>
    <w:rsid w:val="00325E43"/>
    <w:rsid w:val="0032678F"/>
    <w:rsid w:val="003302C6"/>
    <w:rsid w:val="003304E5"/>
    <w:rsid w:val="00330C27"/>
    <w:rsid w:val="003312EA"/>
    <w:rsid w:val="003321AD"/>
    <w:rsid w:val="0033653B"/>
    <w:rsid w:val="00337735"/>
    <w:rsid w:val="00337B5F"/>
    <w:rsid w:val="00340459"/>
    <w:rsid w:val="00340D12"/>
    <w:rsid w:val="00340FEB"/>
    <w:rsid w:val="00341EE4"/>
    <w:rsid w:val="00342378"/>
    <w:rsid w:val="003428EB"/>
    <w:rsid w:val="00342CF6"/>
    <w:rsid w:val="00345F1D"/>
    <w:rsid w:val="0035093C"/>
    <w:rsid w:val="00351837"/>
    <w:rsid w:val="00351EB8"/>
    <w:rsid w:val="003528D0"/>
    <w:rsid w:val="00353AE7"/>
    <w:rsid w:val="00354106"/>
    <w:rsid w:val="0035422E"/>
    <w:rsid w:val="0035631D"/>
    <w:rsid w:val="003568EB"/>
    <w:rsid w:val="003577E1"/>
    <w:rsid w:val="0035799D"/>
    <w:rsid w:val="00357B15"/>
    <w:rsid w:val="00361338"/>
    <w:rsid w:val="0036140B"/>
    <w:rsid w:val="003614C1"/>
    <w:rsid w:val="00362E4D"/>
    <w:rsid w:val="00362FE0"/>
    <w:rsid w:val="003632C4"/>
    <w:rsid w:val="00363EA2"/>
    <w:rsid w:val="003657D5"/>
    <w:rsid w:val="00365A00"/>
    <w:rsid w:val="003676E9"/>
    <w:rsid w:val="003744D2"/>
    <w:rsid w:val="00374903"/>
    <w:rsid w:val="00375B17"/>
    <w:rsid w:val="00376E97"/>
    <w:rsid w:val="00380127"/>
    <w:rsid w:val="00380C22"/>
    <w:rsid w:val="00380DC4"/>
    <w:rsid w:val="0038218C"/>
    <w:rsid w:val="00382821"/>
    <w:rsid w:val="0038314D"/>
    <w:rsid w:val="00383866"/>
    <w:rsid w:val="00383B9B"/>
    <w:rsid w:val="00384AC5"/>
    <w:rsid w:val="00385907"/>
    <w:rsid w:val="00385FBF"/>
    <w:rsid w:val="00387DA2"/>
    <w:rsid w:val="0039031C"/>
    <w:rsid w:val="00391649"/>
    <w:rsid w:val="0039191A"/>
    <w:rsid w:val="00391DAA"/>
    <w:rsid w:val="003922C5"/>
    <w:rsid w:val="00394CC7"/>
    <w:rsid w:val="00394D23"/>
    <w:rsid w:val="00395DE6"/>
    <w:rsid w:val="00396635"/>
    <w:rsid w:val="003972D2"/>
    <w:rsid w:val="00397EC2"/>
    <w:rsid w:val="003A369F"/>
    <w:rsid w:val="003A4405"/>
    <w:rsid w:val="003A493F"/>
    <w:rsid w:val="003A671C"/>
    <w:rsid w:val="003A69C6"/>
    <w:rsid w:val="003A7422"/>
    <w:rsid w:val="003A7541"/>
    <w:rsid w:val="003A76C2"/>
    <w:rsid w:val="003A76EA"/>
    <w:rsid w:val="003A7B51"/>
    <w:rsid w:val="003B138B"/>
    <w:rsid w:val="003B15B9"/>
    <w:rsid w:val="003B1894"/>
    <w:rsid w:val="003B1A10"/>
    <w:rsid w:val="003B1B89"/>
    <w:rsid w:val="003B48AE"/>
    <w:rsid w:val="003B5698"/>
    <w:rsid w:val="003B6FD3"/>
    <w:rsid w:val="003C08C0"/>
    <w:rsid w:val="003C1E0B"/>
    <w:rsid w:val="003C2248"/>
    <w:rsid w:val="003C388B"/>
    <w:rsid w:val="003C4382"/>
    <w:rsid w:val="003C4A8D"/>
    <w:rsid w:val="003C4C3E"/>
    <w:rsid w:val="003C6185"/>
    <w:rsid w:val="003C6740"/>
    <w:rsid w:val="003C6B54"/>
    <w:rsid w:val="003D062B"/>
    <w:rsid w:val="003D0736"/>
    <w:rsid w:val="003D1C22"/>
    <w:rsid w:val="003D1FE5"/>
    <w:rsid w:val="003D3AFE"/>
    <w:rsid w:val="003D4876"/>
    <w:rsid w:val="003D76D6"/>
    <w:rsid w:val="003D7765"/>
    <w:rsid w:val="003E0B56"/>
    <w:rsid w:val="003E1C50"/>
    <w:rsid w:val="003E2811"/>
    <w:rsid w:val="003E2935"/>
    <w:rsid w:val="003E2AD6"/>
    <w:rsid w:val="003E4471"/>
    <w:rsid w:val="003E4AD2"/>
    <w:rsid w:val="003E5167"/>
    <w:rsid w:val="003E6BA3"/>
    <w:rsid w:val="003E718C"/>
    <w:rsid w:val="003E73F2"/>
    <w:rsid w:val="003E7440"/>
    <w:rsid w:val="003F0802"/>
    <w:rsid w:val="003F089C"/>
    <w:rsid w:val="003F390D"/>
    <w:rsid w:val="003F406F"/>
    <w:rsid w:val="003F4B9F"/>
    <w:rsid w:val="003F6E49"/>
    <w:rsid w:val="003F775D"/>
    <w:rsid w:val="00400228"/>
    <w:rsid w:val="00400B33"/>
    <w:rsid w:val="004026C5"/>
    <w:rsid w:val="0040298E"/>
    <w:rsid w:val="004029B3"/>
    <w:rsid w:val="004059E0"/>
    <w:rsid w:val="00405E1A"/>
    <w:rsid w:val="004064EF"/>
    <w:rsid w:val="0040706B"/>
    <w:rsid w:val="00407A0C"/>
    <w:rsid w:val="00407A82"/>
    <w:rsid w:val="00410066"/>
    <w:rsid w:val="00410075"/>
    <w:rsid w:val="0041155D"/>
    <w:rsid w:val="00411DCF"/>
    <w:rsid w:val="00413C44"/>
    <w:rsid w:val="00414840"/>
    <w:rsid w:val="00415A0E"/>
    <w:rsid w:val="00420367"/>
    <w:rsid w:val="0042102B"/>
    <w:rsid w:val="00421D70"/>
    <w:rsid w:val="00421D8A"/>
    <w:rsid w:val="004220AD"/>
    <w:rsid w:val="00422F95"/>
    <w:rsid w:val="00424CED"/>
    <w:rsid w:val="00425358"/>
    <w:rsid w:val="00425EEF"/>
    <w:rsid w:val="00426E79"/>
    <w:rsid w:val="004270A8"/>
    <w:rsid w:val="0043066A"/>
    <w:rsid w:val="0043206C"/>
    <w:rsid w:val="00432883"/>
    <w:rsid w:val="004348A5"/>
    <w:rsid w:val="00436AED"/>
    <w:rsid w:val="004375FE"/>
    <w:rsid w:val="00437953"/>
    <w:rsid w:val="00440C73"/>
    <w:rsid w:val="00443220"/>
    <w:rsid w:val="00443D0F"/>
    <w:rsid w:val="00443EF6"/>
    <w:rsid w:val="00443F0C"/>
    <w:rsid w:val="00444AB3"/>
    <w:rsid w:val="00444C59"/>
    <w:rsid w:val="0044511D"/>
    <w:rsid w:val="004473DC"/>
    <w:rsid w:val="00447BCE"/>
    <w:rsid w:val="00447E12"/>
    <w:rsid w:val="0045018F"/>
    <w:rsid w:val="0045051E"/>
    <w:rsid w:val="00451A84"/>
    <w:rsid w:val="00451F77"/>
    <w:rsid w:val="004525CB"/>
    <w:rsid w:val="004540C8"/>
    <w:rsid w:val="00454DDE"/>
    <w:rsid w:val="00454FA3"/>
    <w:rsid w:val="004607FC"/>
    <w:rsid w:val="00461A5F"/>
    <w:rsid w:val="00464352"/>
    <w:rsid w:val="0046435F"/>
    <w:rsid w:val="004643DA"/>
    <w:rsid w:val="0046566C"/>
    <w:rsid w:val="00465C80"/>
    <w:rsid w:val="00465CD0"/>
    <w:rsid w:val="00466043"/>
    <w:rsid w:val="0046759B"/>
    <w:rsid w:val="004676F5"/>
    <w:rsid w:val="00470F8E"/>
    <w:rsid w:val="00471339"/>
    <w:rsid w:val="00471B60"/>
    <w:rsid w:val="0047287A"/>
    <w:rsid w:val="00472B8B"/>
    <w:rsid w:val="00472D16"/>
    <w:rsid w:val="00472EDF"/>
    <w:rsid w:val="00472F96"/>
    <w:rsid w:val="004745E4"/>
    <w:rsid w:val="00475ABE"/>
    <w:rsid w:val="004763AA"/>
    <w:rsid w:val="00476AE5"/>
    <w:rsid w:val="00476D2B"/>
    <w:rsid w:val="00477882"/>
    <w:rsid w:val="00480CF2"/>
    <w:rsid w:val="00480E63"/>
    <w:rsid w:val="004813AE"/>
    <w:rsid w:val="00482770"/>
    <w:rsid w:val="004828B2"/>
    <w:rsid w:val="00482A02"/>
    <w:rsid w:val="00482D88"/>
    <w:rsid w:val="00483171"/>
    <w:rsid w:val="00483435"/>
    <w:rsid w:val="004849E8"/>
    <w:rsid w:val="00485B0A"/>
    <w:rsid w:val="0048676E"/>
    <w:rsid w:val="00486E09"/>
    <w:rsid w:val="00487C83"/>
    <w:rsid w:val="00487D67"/>
    <w:rsid w:val="00491124"/>
    <w:rsid w:val="0049161A"/>
    <w:rsid w:val="00491735"/>
    <w:rsid w:val="00492986"/>
    <w:rsid w:val="00493D50"/>
    <w:rsid w:val="00494158"/>
    <w:rsid w:val="004959FF"/>
    <w:rsid w:val="00495A34"/>
    <w:rsid w:val="00497885"/>
    <w:rsid w:val="00497EBA"/>
    <w:rsid w:val="004A05C6"/>
    <w:rsid w:val="004A0BF1"/>
    <w:rsid w:val="004A0F08"/>
    <w:rsid w:val="004A12CC"/>
    <w:rsid w:val="004A1366"/>
    <w:rsid w:val="004A3A33"/>
    <w:rsid w:val="004A5618"/>
    <w:rsid w:val="004A5A03"/>
    <w:rsid w:val="004A64FA"/>
    <w:rsid w:val="004A6E3D"/>
    <w:rsid w:val="004B1686"/>
    <w:rsid w:val="004B18D8"/>
    <w:rsid w:val="004B3650"/>
    <w:rsid w:val="004B4302"/>
    <w:rsid w:val="004B4E7D"/>
    <w:rsid w:val="004B4EBB"/>
    <w:rsid w:val="004B5540"/>
    <w:rsid w:val="004B5FA7"/>
    <w:rsid w:val="004B7692"/>
    <w:rsid w:val="004C0041"/>
    <w:rsid w:val="004C2903"/>
    <w:rsid w:val="004C29AF"/>
    <w:rsid w:val="004C3954"/>
    <w:rsid w:val="004C5331"/>
    <w:rsid w:val="004C5340"/>
    <w:rsid w:val="004C5555"/>
    <w:rsid w:val="004D1874"/>
    <w:rsid w:val="004D1939"/>
    <w:rsid w:val="004D228B"/>
    <w:rsid w:val="004D34E6"/>
    <w:rsid w:val="004D4722"/>
    <w:rsid w:val="004D5E54"/>
    <w:rsid w:val="004D5ECE"/>
    <w:rsid w:val="004D6E91"/>
    <w:rsid w:val="004D6F14"/>
    <w:rsid w:val="004E076F"/>
    <w:rsid w:val="004E21B6"/>
    <w:rsid w:val="004E30A1"/>
    <w:rsid w:val="004E64B3"/>
    <w:rsid w:val="004F0D01"/>
    <w:rsid w:val="004F189D"/>
    <w:rsid w:val="004F1BBD"/>
    <w:rsid w:val="004F22CC"/>
    <w:rsid w:val="004F2EA0"/>
    <w:rsid w:val="004F3F1D"/>
    <w:rsid w:val="004F3FB6"/>
    <w:rsid w:val="004F43F7"/>
    <w:rsid w:val="004F467D"/>
    <w:rsid w:val="004F4929"/>
    <w:rsid w:val="004F4E02"/>
    <w:rsid w:val="004F5A6A"/>
    <w:rsid w:val="004F5BC5"/>
    <w:rsid w:val="004F5FCE"/>
    <w:rsid w:val="004F6A76"/>
    <w:rsid w:val="004F70D0"/>
    <w:rsid w:val="004F7521"/>
    <w:rsid w:val="004F75AE"/>
    <w:rsid w:val="00500670"/>
    <w:rsid w:val="005009BA"/>
    <w:rsid w:val="005020EA"/>
    <w:rsid w:val="00502523"/>
    <w:rsid w:val="005038FD"/>
    <w:rsid w:val="00504C57"/>
    <w:rsid w:val="00505087"/>
    <w:rsid w:val="00506264"/>
    <w:rsid w:val="00507579"/>
    <w:rsid w:val="00507A5D"/>
    <w:rsid w:val="005107A7"/>
    <w:rsid w:val="00511515"/>
    <w:rsid w:val="00511C98"/>
    <w:rsid w:val="00512C2B"/>
    <w:rsid w:val="00514EFD"/>
    <w:rsid w:val="00516FA0"/>
    <w:rsid w:val="00517053"/>
    <w:rsid w:val="00517604"/>
    <w:rsid w:val="00520181"/>
    <w:rsid w:val="00520BC8"/>
    <w:rsid w:val="0052213E"/>
    <w:rsid w:val="00523C0C"/>
    <w:rsid w:val="00523F32"/>
    <w:rsid w:val="005251FA"/>
    <w:rsid w:val="00525B86"/>
    <w:rsid w:val="0053032E"/>
    <w:rsid w:val="005306AB"/>
    <w:rsid w:val="005318BB"/>
    <w:rsid w:val="00532095"/>
    <w:rsid w:val="00532C4E"/>
    <w:rsid w:val="00532E71"/>
    <w:rsid w:val="00533C3E"/>
    <w:rsid w:val="0053478C"/>
    <w:rsid w:val="00534C34"/>
    <w:rsid w:val="005352C7"/>
    <w:rsid w:val="0053549E"/>
    <w:rsid w:val="00535B10"/>
    <w:rsid w:val="005362D2"/>
    <w:rsid w:val="00537826"/>
    <w:rsid w:val="00537D92"/>
    <w:rsid w:val="00540B6A"/>
    <w:rsid w:val="00540FCF"/>
    <w:rsid w:val="00541C7E"/>
    <w:rsid w:val="005437CC"/>
    <w:rsid w:val="00544201"/>
    <w:rsid w:val="00544E0D"/>
    <w:rsid w:val="0054629E"/>
    <w:rsid w:val="0055022F"/>
    <w:rsid w:val="0055032F"/>
    <w:rsid w:val="0055214B"/>
    <w:rsid w:val="00552772"/>
    <w:rsid w:val="00554E26"/>
    <w:rsid w:val="0055663F"/>
    <w:rsid w:val="00560C71"/>
    <w:rsid w:val="00561DC7"/>
    <w:rsid w:val="00564EAC"/>
    <w:rsid w:val="00565042"/>
    <w:rsid w:val="00565BB8"/>
    <w:rsid w:val="00565C1A"/>
    <w:rsid w:val="005663B1"/>
    <w:rsid w:val="00570326"/>
    <w:rsid w:val="00571954"/>
    <w:rsid w:val="00571B73"/>
    <w:rsid w:val="005723D1"/>
    <w:rsid w:val="00572475"/>
    <w:rsid w:val="00572506"/>
    <w:rsid w:val="00572A24"/>
    <w:rsid w:val="00573FBA"/>
    <w:rsid w:val="00574475"/>
    <w:rsid w:val="00575D6C"/>
    <w:rsid w:val="0057649B"/>
    <w:rsid w:val="00576521"/>
    <w:rsid w:val="005765B2"/>
    <w:rsid w:val="00576D3B"/>
    <w:rsid w:val="00577A84"/>
    <w:rsid w:val="005802AB"/>
    <w:rsid w:val="00580AA9"/>
    <w:rsid w:val="00582449"/>
    <w:rsid w:val="00584284"/>
    <w:rsid w:val="00584C56"/>
    <w:rsid w:val="00585D49"/>
    <w:rsid w:val="005860FF"/>
    <w:rsid w:val="005863E6"/>
    <w:rsid w:val="005867A8"/>
    <w:rsid w:val="00587679"/>
    <w:rsid w:val="00590EB0"/>
    <w:rsid w:val="00591113"/>
    <w:rsid w:val="00591B6C"/>
    <w:rsid w:val="00593B04"/>
    <w:rsid w:val="00593D24"/>
    <w:rsid w:val="00594784"/>
    <w:rsid w:val="00594A8C"/>
    <w:rsid w:val="00594AF6"/>
    <w:rsid w:val="00594E22"/>
    <w:rsid w:val="0059628C"/>
    <w:rsid w:val="0059738A"/>
    <w:rsid w:val="005A0AFC"/>
    <w:rsid w:val="005A0B18"/>
    <w:rsid w:val="005A27B1"/>
    <w:rsid w:val="005A2EE7"/>
    <w:rsid w:val="005A308C"/>
    <w:rsid w:val="005A365C"/>
    <w:rsid w:val="005A44D1"/>
    <w:rsid w:val="005A5812"/>
    <w:rsid w:val="005A5FD6"/>
    <w:rsid w:val="005A6206"/>
    <w:rsid w:val="005A71AF"/>
    <w:rsid w:val="005A7230"/>
    <w:rsid w:val="005B0F6D"/>
    <w:rsid w:val="005B1618"/>
    <w:rsid w:val="005B5375"/>
    <w:rsid w:val="005B59E7"/>
    <w:rsid w:val="005B5D35"/>
    <w:rsid w:val="005B611C"/>
    <w:rsid w:val="005B779E"/>
    <w:rsid w:val="005B7DE3"/>
    <w:rsid w:val="005C0046"/>
    <w:rsid w:val="005C0979"/>
    <w:rsid w:val="005C11FC"/>
    <w:rsid w:val="005C137D"/>
    <w:rsid w:val="005C193B"/>
    <w:rsid w:val="005C2B2D"/>
    <w:rsid w:val="005C2C48"/>
    <w:rsid w:val="005C42F2"/>
    <w:rsid w:val="005C43AB"/>
    <w:rsid w:val="005C5AE8"/>
    <w:rsid w:val="005C5BB3"/>
    <w:rsid w:val="005C5ED4"/>
    <w:rsid w:val="005C5F6F"/>
    <w:rsid w:val="005C64BA"/>
    <w:rsid w:val="005C7246"/>
    <w:rsid w:val="005C72CE"/>
    <w:rsid w:val="005D0A96"/>
    <w:rsid w:val="005D17DE"/>
    <w:rsid w:val="005D1A78"/>
    <w:rsid w:val="005D2C4A"/>
    <w:rsid w:val="005D2F73"/>
    <w:rsid w:val="005D2F94"/>
    <w:rsid w:val="005D42E0"/>
    <w:rsid w:val="005D45A6"/>
    <w:rsid w:val="005D4DE1"/>
    <w:rsid w:val="005D52FF"/>
    <w:rsid w:val="005D68DA"/>
    <w:rsid w:val="005E0122"/>
    <w:rsid w:val="005E0DBA"/>
    <w:rsid w:val="005E1295"/>
    <w:rsid w:val="005E159D"/>
    <w:rsid w:val="005E2910"/>
    <w:rsid w:val="005E3858"/>
    <w:rsid w:val="005E3DDC"/>
    <w:rsid w:val="005E4322"/>
    <w:rsid w:val="005E47B7"/>
    <w:rsid w:val="005E4D0C"/>
    <w:rsid w:val="005E57B8"/>
    <w:rsid w:val="005E5A07"/>
    <w:rsid w:val="005E5C8A"/>
    <w:rsid w:val="005E66B0"/>
    <w:rsid w:val="005E7334"/>
    <w:rsid w:val="005F0306"/>
    <w:rsid w:val="005F0C99"/>
    <w:rsid w:val="005F0E23"/>
    <w:rsid w:val="005F290B"/>
    <w:rsid w:val="005F2AF2"/>
    <w:rsid w:val="005F3786"/>
    <w:rsid w:val="005F38D8"/>
    <w:rsid w:val="005F66C6"/>
    <w:rsid w:val="005F6B0B"/>
    <w:rsid w:val="00600193"/>
    <w:rsid w:val="00602AB5"/>
    <w:rsid w:val="00604EB0"/>
    <w:rsid w:val="00604FFA"/>
    <w:rsid w:val="0060521A"/>
    <w:rsid w:val="00605F80"/>
    <w:rsid w:val="0060606E"/>
    <w:rsid w:val="0060628C"/>
    <w:rsid w:val="00607353"/>
    <w:rsid w:val="00610709"/>
    <w:rsid w:val="00611632"/>
    <w:rsid w:val="00612884"/>
    <w:rsid w:val="00612F8D"/>
    <w:rsid w:val="00613E94"/>
    <w:rsid w:val="00613F94"/>
    <w:rsid w:val="00615859"/>
    <w:rsid w:val="00617334"/>
    <w:rsid w:val="00617817"/>
    <w:rsid w:val="00617B86"/>
    <w:rsid w:val="0062048A"/>
    <w:rsid w:val="006212B8"/>
    <w:rsid w:val="00623587"/>
    <w:rsid w:val="00624016"/>
    <w:rsid w:val="0062463F"/>
    <w:rsid w:val="0062470E"/>
    <w:rsid w:val="0062537F"/>
    <w:rsid w:val="006256E8"/>
    <w:rsid w:val="006273A7"/>
    <w:rsid w:val="00627894"/>
    <w:rsid w:val="00630023"/>
    <w:rsid w:val="0063097B"/>
    <w:rsid w:val="00631C37"/>
    <w:rsid w:val="006321A2"/>
    <w:rsid w:val="00633AC0"/>
    <w:rsid w:val="00634165"/>
    <w:rsid w:val="00635E8C"/>
    <w:rsid w:val="006362F5"/>
    <w:rsid w:val="006363BF"/>
    <w:rsid w:val="006369C0"/>
    <w:rsid w:val="00640057"/>
    <w:rsid w:val="00640CCB"/>
    <w:rsid w:val="00642670"/>
    <w:rsid w:val="00642A48"/>
    <w:rsid w:val="00643F5D"/>
    <w:rsid w:val="006442AE"/>
    <w:rsid w:val="00644A75"/>
    <w:rsid w:val="0064624A"/>
    <w:rsid w:val="00646A38"/>
    <w:rsid w:val="00650B65"/>
    <w:rsid w:val="0065141C"/>
    <w:rsid w:val="006525C2"/>
    <w:rsid w:val="00654746"/>
    <w:rsid w:val="00654881"/>
    <w:rsid w:val="006552EA"/>
    <w:rsid w:val="006554CD"/>
    <w:rsid w:val="00656D2B"/>
    <w:rsid w:val="00657918"/>
    <w:rsid w:val="006607C6"/>
    <w:rsid w:val="00661BF6"/>
    <w:rsid w:val="00663504"/>
    <w:rsid w:val="00663599"/>
    <w:rsid w:val="00663A91"/>
    <w:rsid w:val="006658E6"/>
    <w:rsid w:val="00665ADD"/>
    <w:rsid w:val="0066666A"/>
    <w:rsid w:val="006677AA"/>
    <w:rsid w:val="00670FC7"/>
    <w:rsid w:val="00671383"/>
    <w:rsid w:val="0067158D"/>
    <w:rsid w:val="006719CA"/>
    <w:rsid w:val="00671AB4"/>
    <w:rsid w:val="00674149"/>
    <w:rsid w:val="00674712"/>
    <w:rsid w:val="006757FF"/>
    <w:rsid w:val="00675CB1"/>
    <w:rsid w:val="00676668"/>
    <w:rsid w:val="00676BA4"/>
    <w:rsid w:val="00677AB8"/>
    <w:rsid w:val="00677F84"/>
    <w:rsid w:val="0068176F"/>
    <w:rsid w:val="00681893"/>
    <w:rsid w:val="00683282"/>
    <w:rsid w:val="006832A4"/>
    <w:rsid w:val="0068376B"/>
    <w:rsid w:val="00683D57"/>
    <w:rsid w:val="0068448F"/>
    <w:rsid w:val="00684D19"/>
    <w:rsid w:val="00685806"/>
    <w:rsid w:val="00686447"/>
    <w:rsid w:val="00686E27"/>
    <w:rsid w:val="006873C2"/>
    <w:rsid w:val="00687A0F"/>
    <w:rsid w:val="006925A0"/>
    <w:rsid w:val="006938DD"/>
    <w:rsid w:val="00695FC7"/>
    <w:rsid w:val="00696554"/>
    <w:rsid w:val="00696563"/>
    <w:rsid w:val="00696EA6"/>
    <w:rsid w:val="00696FF6"/>
    <w:rsid w:val="006A0454"/>
    <w:rsid w:val="006A1CCA"/>
    <w:rsid w:val="006A2216"/>
    <w:rsid w:val="006A3C31"/>
    <w:rsid w:val="006A3CB8"/>
    <w:rsid w:val="006A49B3"/>
    <w:rsid w:val="006A5E51"/>
    <w:rsid w:val="006A60BC"/>
    <w:rsid w:val="006A6A40"/>
    <w:rsid w:val="006A6DA4"/>
    <w:rsid w:val="006A78B8"/>
    <w:rsid w:val="006B0034"/>
    <w:rsid w:val="006B110D"/>
    <w:rsid w:val="006B1803"/>
    <w:rsid w:val="006B3780"/>
    <w:rsid w:val="006B3B2D"/>
    <w:rsid w:val="006B50C2"/>
    <w:rsid w:val="006B636C"/>
    <w:rsid w:val="006B63F8"/>
    <w:rsid w:val="006B6A1D"/>
    <w:rsid w:val="006B7EC9"/>
    <w:rsid w:val="006B7F96"/>
    <w:rsid w:val="006C26A8"/>
    <w:rsid w:val="006C4479"/>
    <w:rsid w:val="006C45A8"/>
    <w:rsid w:val="006C4712"/>
    <w:rsid w:val="006C571D"/>
    <w:rsid w:val="006C57E4"/>
    <w:rsid w:val="006C5A2A"/>
    <w:rsid w:val="006C68BA"/>
    <w:rsid w:val="006C6AB2"/>
    <w:rsid w:val="006C7018"/>
    <w:rsid w:val="006C7E10"/>
    <w:rsid w:val="006D0CAD"/>
    <w:rsid w:val="006D23F1"/>
    <w:rsid w:val="006D2975"/>
    <w:rsid w:val="006D3277"/>
    <w:rsid w:val="006D394D"/>
    <w:rsid w:val="006D3D83"/>
    <w:rsid w:val="006D6CD2"/>
    <w:rsid w:val="006E0053"/>
    <w:rsid w:val="006E0F99"/>
    <w:rsid w:val="006E1A12"/>
    <w:rsid w:val="006E292B"/>
    <w:rsid w:val="006E461C"/>
    <w:rsid w:val="006E614C"/>
    <w:rsid w:val="006E655C"/>
    <w:rsid w:val="006E77FB"/>
    <w:rsid w:val="006F04AB"/>
    <w:rsid w:val="006F0916"/>
    <w:rsid w:val="006F1682"/>
    <w:rsid w:val="006F1AEA"/>
    <w:rsid w:val="006F2E90"/>
    <w:rsid w:val="006F4424"/>
    <w:rsid w:val="006F4944"/>
    <w:rsid w:val="00701041"/>
    <w:rsid w:val="0070119C"/>
    <w:rsid w:val="0070129F"/>
    <w:rsid w:val="00702FBD"/>
    <w:rsid w:val="00703089"/>
    <w:rsid w:val="007051BA"/>
    <w:rsid w:val="0070616E"/>
    <w:rsid w:val="0070796B"/>
    <w:rsid w:val="00707F74"/>
    <w:rsid w:val="0071154F"/>
    <w:rsid w:val="00714753"/>
    <w:rsid w:val="00714EB4"/>
    <w:rsid w:val="0071597D"/>
    <w:rsid w:val="00715A5B"/>
    <w:rsid w:val="0072189A"/>
    <w:rsid w:val="00721ED2"/>
    <w:rsid w:val="0072272F"/>
    <w:rsid w:val="00724F41"/>
    <w:rsid w:val="00725841"/>
    <w:rsid w:val="00725DE7"/>
    <w:rsid w:val="00726676"/>
    <w:rsid w:val="00727C89"/>
    <w:rsid w:val="00730CBC"/>
    <w:rsid w:val="00734075"/>
    <w:rsid w:val="007343AB"/>
    <w:rsid w:val="007346C8"/>
    <w:rsid w:val="00734B0B"/>
    <w:rsid w:val="00734CD2"/>
    <w:rsid w:val="007357DE"/>
    <w:rsid w:val="00740232"/>
    <w:rsid w:val="00740596"/>
    <w:rsid w:val="00740FCA"/>
    <w:rsid w:val="00741B51"/>
    <w:rsid w:val="00741B82"/>
    <w:rsid w:val="00742ECD"/>
    <w:rsid w:val="0074365A"/>
    <w:rsid w:val="00743692"/>
    <w:rsid w:val="00743B44"/>
    <w:rsid w:val="0074538B"/>
    <w:rsid w:val="007459E2"/>
    <w:rsid w:val="007460EB"/>
    <w:rsid w:val="007461A5"/>
    <w:rsid w:val="00746A9D"/>
    <w:rsid w:val="00747749"/>
    <w:rsid w:val="00750194"/>
    <w:rsid w:val="0075193A"/>
    <w:rsid w:val="00751F8C"/>
    <w:rsid w:val="007520E9"/>
    <w:rsid w:val="007529B7"/>
    <w:rsid w:val="00752A90"/>
    <w:rsid w:val="00754F91"/>
    <w:rsid w:val="00755FD7"/>
    <w:rsid w:val="00756E28"/>
    <w:rsid w:val="00760B83"/>
    <w:rsid w:val="00761788"/>
    <w:rsid w:val="0076272C"/>
    <w:rsid w:val="00763A91"/>
    <w:rsid w:val="00763BB9"/>
    <w:rsid w:val="00764175"/>
    <w:rsid w:val="00764621"/>
    <w:rsid w:val="0076475B"/>
    <w:rsid w:val="00765285"/>
    <w:rsid w:val="00765954"/>
    <w:rsid w:val="00766562"/>
    <w:rsid w:val="00770231"/>
    <w:rsid w:val="00770DAF"/>
    <w:rsid w:val="007713D5"/>
    <w:rsid w:val="007716DF"/>
    <w:rsid w:val="00772F5B"/>
    <w:rsid w:val="00773A38"/>
    <w:rsid w:val="007743D5"/>
    <w:rsid w:val="00775681"/>
    <w:rsid w:val="0077602D"/>
    <w:rsid w:val="00776B06"/>
    <w:rsid w:val="00776E16"/>
    <w:rsid w:val="00777CB1"/>
    <w:rsid w:val="00781E05"/>
    <w:rsid w:val="00782FF7"/>
    <w:rsid w:val="007840DF"/>
    <w:rsid w:val="00784C8E"/>
    <w:rsid w:val="00784FE3"/>
    <w:rsid w:val="007868DF"/>
    <w:rsid w:val="007869FB"/>
    <w:rsid w:val="00786B2B"/>
    <w:rsid w:val="00791658"/>
    <w:rsid w:val="00792E14"/>
    <w:rsid w:val="00793FC4"/>
    <w:rsid w:val="007961AC"/>
    <w:rsid w:val="00796A56"/>
    <w:rsid w:val="007978D6"/>
    <w:rsid w:val="0079790D"/>
    <w:rsid w:val="00797A49"/>
    <w:rsid w:val="007A06F9"/>
    <w:rsid w:val="007A076B"/>
    <w:rsid w:val="007A07FE"/>
    <w:rsid w:val="007A15D9"/>
    <w:rsid w:val="007A2080"/>
    <w:rsid w:val="007A23DB"/>
    <w:rsid w:val="007A2C70"/>
    <w:rsid w:val="007A30A0"/>
    <w:rsid w:val="007A319F"/>
    <w:rsid w:val="007A3FD4"/>
    <w:rsid w:val="007A5BB1"/>
    <w:rsid w:val="007A6D4D"/>
    <w:rsid w:val="007A7542"/>
    <w:rsid w:val="007A7648"/>
    <w:rsid w:val="007A7B30"/>
    <w:rsid w:val="007A7F6E"/>
    <w:rsid w:val="007B029C"/>
    <w:rsid w:val="007B0311"/>
    <w:rsid w:val="007B2F7B"/>
    <w:rsid w:val="007B47DA"/>
    <w:rsid w:val="007B4FB6"/>
    <w:rsid w:val="007B561C"/>
    <w:rsid w:val="007B5760"/>
    <w:rsid w:val="007B57B3"/>
    <w:rsid w:val="007B706D"/>
    <w:rsid w:val="007B7773"/>
    <w:rsid w:val="007B78D5"/>
    <w:rsid w:val="007B7C69"/>
    <w:rsid w:val="007C33E4"/>
    <w:rsid w:val="007C46E3"/>
    <w:rsid w:val="007C4A03"/>
    <w:rsid w:val="007C623A"/>
    <w:rsid w:val="007C7504"/>
    <w:rsid w:val="007C7D05"/>
    <w:rsid w:val="007C7DB6"/>
    <w:rsid w:val="007D3437"/>
    <w:rsid w:val="007D3BC2"/>
    <w:rsid w:val="007D3C3F"/>
    <w:rsid w:val="007D418F"/>
    <w:rsid w:val="007D48CB"/>
    <w:rsid w:val="007D4B03"/>
    <w:rsid w:val="007D6223"/>
    <w:rsid w:val="007D6AB2"/>
    <w:rsid w:val="007D706A"/>
    <w:rsid w:val="007D740B"/>
    <w:rsid w:val="007D7604"/>
    <w:rsid w:val="007E0024"/>
    <w:rsid w:val="007E04A0"/>
    <w:rsid w:val="007E0FAE"/>
    <w:rsid w:val="007E3232"/>
    <w:rsid w:val="007E3B5B"/>
    <w:rsid w:val="007E3B6F"/>
    <w:rsid w:val="007E3C95"/>
    <w:rsid w:val="007E4B9D"/>
    <w:rsid w:val="007E69F1"/>
    <w:rsid w:val="007E79E9"/>
    <w:rsid w:val="007F05F4"/>
    <w:rsid w:val="007F1AF9"/>
    <w:rsid w:val="007F3465"/>
    <w:rsid w:val="007F375F"/>
    <w:rsid w:val="007F5727"/>
    <w:rsid w:val="007F5F82"/>
    <w:rsid w:val="007F67B5"/>
    <w:rsid w:val="00800247"/>
    <w:rsid w:val="00800A78"/>
    <w:rsid w:val="00801E28"/>
    <w:rsid w:val="0080258D"/>
    <w:rsid w:val="008025E0"/>
    <w:rsid w:val="00802748"/>
    <w:rsid w:val="0080317F"/>
    <w:rsid w:val="008036D7"/>
    <w:rsid w:val="0080378F"/>
    <w:rsid w:val="00803E2A"/>
    <w:rsid w:val="0080464D"/>
    <w:rsid w:val="00804D10"/>
    <w:rsid w:val="00805336"/>
    <w:rsid w:val="0081004B"/>
    <w:rsid w:val="00810FB9"/>
    <w:rsid w:val="00811167"/>
    <w:rsid w:val="008125E2"/>
    <w:rsid w:val="00813088"/>
    <w:rsid w:val="00813FA9"/>
    <w:rsid w:val="008156C8"/>
    <w:rsid w:val="00815EF5"/>
    <w:rsid w:val="00816E39"/>
    <w:rsid w:val="00820282"/>
    <w:rsid w:val="0082054E"/>
    <w:rsid w:val="0082135F"/>
    <w:rsid w:val="00821E57"/>
    <w:rsid w:val="00822D6C"/>
    <w:rsid w:val="00823EE7"/>
    <w:rsid w:val="0082462B"/>
    <w:rsid w:val="00825940"/>
    <w:rsid w:val="00826EA5"/>
    <w:rsid w:val="00830824"/>
    <w:rsid w:val="00831096"/>
    <w:rsid w:val="00831B74"/>
    <w:rsid w:val="00831B8A"/>
    <w:rsid w:val="008326AB"/>
    <w:rsid w:val="00832A35"/>
    <w:rsid w:val="00833112"/>
    <w:rsid w:val="00833AC9"/>
    <w:rsid w:val="00834703"/>
    <w:rsid w:val="008353E2"/>
    <w:rsid w:val="008360C9"/>
    <w:rsid w:val="0083614C"/>
    <w:rsid w:val="0083665D"/>
    <w:rsid w:val="0084099F"/>
    <w:rsid w:val="00840E27"/>
    <w:rsid w:val="00840F36"/>
    <w:rsid w:val="008413ED"/>
    <w:rsid w:val="00841405"/>
    <w:rsid w:val="008440A4"/>
    <w:rsid w:val="0084473B"/>
    <w:rsid w:val="00844775"/>
    <w:rsid w:val="00844F20"/>
    <w:rsid w:val="00845A47"/>
    <w:rsid w:val="008474DF"/>
    <w:rsid w:val="008526E2"/>
    <w:rsid w:val="00852751"/>
    <w:rsid w:val="00853174"/>
    <w:rsid w:val="008546F1"/>
    <w:rsid w:val="00854B63"/>
    <w:rsid w:val="008553DC"/>
    <w:rsid w:val="00857077"/>
    <w:rsid w:val="0085766F"/>
    <w:rsid w:val="008579CB"/>
    <w:rsid w:val="0086151A"/>
    <w:rsid w:val="008618BC"/>
    <w:rsid w:val="00862A64"/>
    <w:rsid w:val="00862F6A"/>
    <w:rsid w:val="0086447C"/>
    <w:rsid w:val="00864A2C"/>
    <w:rsid w:val="00870399"/>
    <w:rsid w:val="008704A4"/>
    <w:rsid w:val="00870CCB"/>
    <w:rsid w:val="00873B30"/>
    <w:rsid w:val="00874213"/>
    <w:rsid w:val="00874C56"/>
    <w:rsid w:val="00876052"/>
    <w:rsid w:val="00877202"/>
    <w:rsid w:val="008807E5"/>
    <w:rsid w:val="00880D4A"/>
    <w:rsid w:val="00881A3E"/>
    <w:rsid w:val="00881CAA"/>
    <w:rsid w:val="008842CC"/>
    <w:rsid w:val="008869E7"/>
    <w:rsid w:val="00890BED"/>
    <w:rsid w:val="008927A1"/>
    <w:rsid w:val="00892D04"/>
    <w:rsid w:val="008937B8"/>
    <w:rsid w:val="00893B2B"/>
    <w:rsid w:val="008941A9"/>
    <w:rsid w:val="00895A32"/>
    <w:rsid w:val="00895AA3"/>
    <w:rsid w:val="00895EF1"/>
    <w:rsid w:val="0089685C"/>
    <w:rsid w:val="00896D37"/>
    <w:rsid w:val="00897873"/>
    <w:rsid w:val="008A02D1"/>
    <w:rsid w:val="008A1EC8"/>
    <w:rsid w:val="008A226B"/>
    <w:rsid w:val="008A3DCE"/>
    <w:rsid w:val="008A516E"/>
    <w:rsid w:val="008A53D8"/>
    <w:rsid w:val="008A5650"/>
    <w:rsid w:val="008A6938"/>
    <w:rsid w:val="008A70EA"/>
    <w:rsid w:val="008A7155"/>
    <w:rsid w:val="008A7BA9"/>
    <w:rsid w:val="008B02C1"/>
    <w:rsid w:val="008B0396"/>
    <w:rsid w:val="008B0D55"/>
    <w:rsid w:val="008B55B9"/>
    <w:rsid w:val="008B5983"/>
    <w:rsid w:val="008B59FC"/>
    <w:rsid w:val="008B6163"/>
    <w:rsid w:val="008B7915"/>
    <w:rsid w:val="008B7BE0"/>
    <w:rsid w:val="008C06FB"/>
    <w:rsid w:val="008C13BF"/>
    <w:rsid w:val="008C1CDE"/>
    <w:rsid w:val="008C2088"/>
    <w:rsid w:val="008C2BC0"/>
    <w:rsid w:val="008C2CEE"/>
    <w:rsid w:val="008C34EB"/>
    <w:rsid w:val="008C35EB"/>
    <w:rsid w:val="008C3C11"/>
    <w:rsid w:val="008C3CD8"/>
    <w:rsid w:val="008C3DBD"/>
    <w:rsid w:val="008C40CC"/>
    <w:rsid w:val="008C486C"/>
    <w:rsid w:val="008C5AAE"/>
    <w:rsid w:val="008C6D62"/>
    <w:rsid w:val="008C77FF"/>
    <w:rsid w:val="008C7BF8"/>
    <w:rsid w:val="008D146F"/>
    <w:rsid w:val="008D479D"/>
    <w:rsid w:val="008D4C29"/>
    <w:rsid w:val="008D5EE1"/>
    <w:rsid w:val="008D6762"/>
    <w:rsid w:val="008E0042"/>
    <w:rsid w:val="008E0869"/>
    <w:rsid w:val="008E0F1D"/>
    <w:rsid w:val="008E3ACB"/>
    <w:rsid w:val="008E3B2D"/>
    <w:rsid w:val="008E49E3"/>
    <w:rsid w:val="008E5B87"/>
    <w:rsid w:val="008E5E22"/>
    <w:rsid w:val="008E7A74"/>
    <w:rsid w:val="008F0507"/>
    <w:rsid w:val="008F2D75"/>
    <w:rsid w:val="008F37C4"/>
    <w:rsid w:val="008F44B7"/>
    <w:rsid w:val="008F49C0"/>
    <w:rsid w:val="008F4F7D"/>
    <w:rsid w:val="008F4FC4"/>
    <w:rsid w:val="008F5229"/>
    <w:rsid w:val="008F546F"/>
    <w:rsid w:val="008F5950"/>
    <w:rsid w:val="008F64E8"/>
    <w:rsid w:val="008F7F8E"/>
    <w:rsid w:val="00900FDC"/>
    <w:rsid w:val="00901816"/>
    <w:rsid w:val="009018D0"/>
    <w:rsid w:val="00902810"/>
    <w:rsid w:val="00903A30"/>
    <w:rsid w:val="009053AB"/>
    <w:rsid w:val="0090626F"/>
    <w:rsid w:val="00906755"/>
    <w:rsid w:val="009074B5"/>
    <w:rsid w:val="009143A3"/>
    <w:rsid w:val="009143D6"/>
    <w:rsid w:val="00914DEB"/>
    <w:rsid w:val="0091548A"/>
    <w:rsid w:val="009178BE"/>
    <w:rsid w:val="009213B9"/>
    <w:rsid w:val="0092206A"/>
    <w:rsid w:val="009237F2"/>
    <w:rsid w:val="0092399C"/>
    <w:rsid w:val="009254E7"/>
    <w:rsid w:val="009256A3"/>
    <w:rsid w:val="00925A11"/>
    <w:rsid w:val="00927307"/>
    <w:rsid w:val="009278A4"/>
    <w:rsid w:val="009279BC"/>
    <w:rsid w:val="00930276"/>
    <w:rsid w:val="00930352"/>
    <w:rsid w:val="00935A8C"/>
    <w:rsid w:val="00937EFC"/>
    <w:rsid w:val="00940A8B"/>
    <w:rsid w:val="009412D0"/>
    <w:rsid w:val="009414F4"/>
    <w:rsid w:val="009417FC"/>
    <w:rsid w:val="009432DF"/>
    <w:rsid w:val="00943587"/>
    <w:rsid w:val="0094408C"/>
    <w:rsid w:val="00944206"/>
    <w:rsid w:val="009462C1"/>
    <w:rsid w:val="009464A1"/>
    <w:rsid w:val="00947607"/>
    <w:rsid w:val="00951898"/>
    <w:rsid w:val="00952955"/>
    <w:rsid w:val="0095315F"/>
    <w:rsid w:val="009531D4"/>
    <w:rsid w:val="00953DC1"/>
    <w:rsid w:val="009542DC"/>
    <w:rsid w:val="009545D7"/>
    <w:rsid w:val="00954AFC"/>
    <w:rsid w:val="00957B01"/>
    <w:rsid w:val="0096065E"/>
    <w:rsid w:val="00960998"/>
    <w:rsid w:val="00960FA9"/>
    <w:rsid w:val="009625FE"/>
    <w:rsid w:val="00963AD7"/>
    <w:rsid w:val="00965896"/>
    <w:rsid w:val="00965AF9"/>
    <w:rsid w:val="009675F4"/>
    <w:rsid w:val="00971B0E"/>
    <w:rsid w:val="00972755"/>
    <w:rsid w:val="009764A3"/>
    <w:rsid w:val="0097662A"/>
    <w:rsid w:val="0098195B"/>
    <w:rsid w:val="009821FA"/>
    <w:rsid w:val="009825AD"/>
    <w:rsid w:val="00982E9C"/>
    <w:rsid w:val="00983C9E"/>
    <w:rsid w:val="0098570F"/>
    <w:rsid w:val="009906D8"/>
    <w:rsid w:val="009924B5"/>
    <w:rsid w:val="00993FCB"/>
    <w:rsid w:val="00994371"/>
    <w:rsid w:val="00994483"/>
    <w:rsid w:val="0099690D"/>
    <w:rsid w:val="00996DFC"/>
    <w:rsid w:val="00996E14"/>
    <w:rsid w:val="009975A0"/>
    <w:rsid w:val="0099783C"/>
    <w:rsid w:val="00997A0A"/>
    <w:rsid w:val="009A1727"/>
    <w:rsid w:val="009A1FC6"/>
    <w:rsid w:val="009A4925"/>
    <w:rsid w:val="009A6168"/>
    <w:rsid w:val="009A6770"/>
    <w:rsid w:val="009A7035"/>
    <w:rsid w:val="009B071F"/>
    <w:rsid w:val="009B18D0"/>
    <w:rsid w:val="009B1C19"/>
    <w:rsid w:val="009B299C"/>
    <w:rsid w:val="009B325C"/>
    <w:rsid w:val="009B4265"/>
    <w:rsid w:val="009B542F"/>
    <w:rsid w:val="009B6D0A"/>
    <w:rsid w:val="009B6DA5"/>
    <w:rsid w:val="009B7773"/>
    <w:rsid w:val="009B7A2F"/>
    <w:rsid w:val="009C115A"/>
    <w:rsid w:val="009C1AA0"/>
    <w:rsid w:val="009C2701"/>
    <w:rsid w:val="009C2F0A"/>
    <w:rsid w:val="009C4B98"/>
    <w:rsid w:val="009C5500"/>
    <w:rsid w:val="009C5DC4"/>
    <w:rsid w:val="009C5E31"/>
    <w:rsid w:val="009C6574"/>
    <w:rsid w:val="009C65D6"/>
    <w:rsid w:val="009C662B"/>
    <w:rsid w:val="009C6A2B"/>
    <w:rsid w:val="009C6C3E"/>
    <w:rsid w:val="009C6DB6"/>
    <w:rsid w:val="009C719A"/>
    <w:rsid w:val="009D013A"/>
    <w:rsid w:val="009D19F2"/>
    <w:rsid w:val="009D1B8C"/>
    <w:rsid w:val="009D341B"/>
    <w:rsid w:val="009E0F7A"/>
    <w:rsid w:val="009E3BD9"/>
    <w:rsid w:val="009E5270"/>
    <w:rsid w:val="009E5B08"/>
    <w:rsid w:val="009E644F"/>
    <w:rsid w:val="009E7D9E"/>
    <w:rsid w:val="009F0173"/>
    <w:rsid w:val="009F342B"/>
    <w:rsid w:val="009F46F5"/>
    <w:rsid w:val="009F5D4D"/>
    <w:rsid w:val="009F6D3B"/>
    <w:rsid w:val="009F6EBB"/>
    <w:rsid w:val="009F713B"/>
    <w:rsid w:val="009F7722"/>
    <w:rsid w:val="00A00B05"/>
    <w:rsid w:val="00A01821"/>
    <w:rsid w:val="00A02D1B"/>
    <w:rsid w:val="00A04809"/>
    <w:rsid w:val="00A04E43"/>
    <w:rsid w:val="00A06157"/>
    <w:rsid w:val="00A07639"/>
    <w:rsid w:val="00A07AC2"/>
    <w:rsid w:val="00A10AD2"/>
    <w:rsid w:val="00A12735"/>
    <w:rsid w:val="00A12ECE"/>
    <w:rsid w:val="00A13170"/>
    <w:rsid w:val="00A135D7"/>
    <w:rsid w:val="00A13981"/>
    <w:rsid w:val="00A14490"/>
    <w:rsid w:val="00A15011"/>
    <w:rsid w:val="00A15C3F"/>
    <w:rsid w:val="00A1797C"/>
    <w:rsid w:val="00A17D4D"/>
    <w:rsid w:val="00A21CA9"/>
    <w:rsid w:val="00A22DAC"/>
    <w:rsid w:val="00A2482B"/>
    <w:rsid w:val="00A267F9"/>
    <w:rsid w:val="00A2700D"/>
    <w:rsid w:val="00A27EEA"/>
    <w:rsid w:val="00A312E4"/>
    <w:rsid w:val="00A31857"/>
    <w:rsid w:val="00A31B52"/>
    <w:rsid w:val="00A34F06"/>
    <w:rsid w:val="00A35FB8"/>
    <w:rsid w:val="00A36041"/>
    <w:rsid w:val="00A366F9"/>
    <w:rsid w:val="00A36F33"/>
    <w:rsid w:val="00A3756F"/>
    <w:rsid w:val="00A378B6"/>
    <w:rsid w:val="00A41980"/>
    <w:rsid w:val="00A42323"/>
    <w:rsid w:val="00A42384"/>
    <w:rsid w:val="00A42D31"/>
    <w:rsid w:val="00A440B8"/>
    <w:rsid w:val="00A46170"/>
    <w:rsid w:val="00A471F6"/>
    <w:rsid w:val="00A47545"/>
    <w:rsid w:val="00A47ECC"/>
    <w:rsid w:val="00A50890"/>
    <w:rsid w:val="00A52301"/>
    <w:rsid w:val="00A52C4A"/>
    <w:rsid w:val="00A52DB6"/>
    <w:rsid w:val="00A52DFE"/>
    <w:rsid w:val="00A53F50"/>
    <w:rsid w:val="00A5544D"/>
    <w:rsid w:val="00A571E6"/>
    <w:rsid w:val="00A57928"/>
    <w:rsid w:val="00A57B07"/>
    <w:rsid w:val="00A609F7"/>
    <w:rsid w:val="00A60A12"/>
    <w:rsid w:val="00A614C5"/>
    <w:rsid w:val="00A61F36"/>
    <w:rsid w:val="00A61FC8"/>
    <w:rsid w:val="00A621E5"/>
    <w:rsid w:val="00A62608"/>
    <w:rsid w:val="00A62CCC"/>
    <w:rsid w:val="00A630B6"/>
    <w:rsid w:val="00A64B55"/>
    <w:rsid w:val="00A64E3B"/>
    <w:rsid w:val="00A65294"/>
    <w:rsid w:val="00A6678F"/>
    <w:rsid w:val="00A70FE3"/>
    <w:rsid w:val="00A71938"/>
    <w:rsid w:val="00A737EC"/>
    <w:rsid w:val="00A778D5"/>
    <w:rsid w:val="00A779F8"/>
    <w:rsid w:val="00A77D8D"/>
    <w:rsid w:val="00A81BF7"/>
    <w:rsid w:val="00A81EB1"/>
    <w:rsid w:val="00A81FC5"/>
    <w:rsid w:val="00A8202E"/>
    <w:rsid w:val="00A82F6A"/>
    <w:rsid w:val="00A82F7D"/>
    <w:rsid w:val="00A83A3C"/>
    <w:rsid w:val="00A841F2"/>
    <w:rsid w:val="00A85779"/>
    <w:rsid w:val="00A85ACF"/>
    <w:rsid w:val="00A866B8"/>
    <w:rsid w:val="00A87A6B"/>
    <w:rsid w:val="00A90ACA"/>
    <w:rsid w:val="00A90F4D"/>
    <w:rsid w:val="00A91515"/>
    <w:rsid w:val="00A92C48"/>
    <w:rsid w:val="00A936AD"/>
    <w:rsid w:val="00A946E1"/>
    <w:rsid w:val="00A954F7"/>
    <w:rsid w:val="00A97448"/>
    <w:rsid w:val="00A97610"/>
    <w:rsid w:val="00AA0493"/>
    <w:rsid w:val="00AA19DC"/>
    <w:rsid w:val="00AA2A72"/>
    <w:rsid w:val="00AA3092"/>
    <w:rsid w:val="00AA38A2"/>
    <w:rsid w:val="00AA4721"/>
    <w:rsid w:val="00AA5498"/>
    <w:rsid w:val="00AA5707"/>
    <w:rsid w:val="00AA64C3"/>
    <w:rsid w:val="00AA65E0"/>
    <w:rsid w:val="00AA66EF"/>
    <w:rsid w:val="00AA6F54"/>
    <w:rsid w:val="00AA7C3E"/>
    <w:rsid w:val="00AB010A"/>
    <w:rsid w:val="00AB012C"/>
    <w:rsid w:val="00AB1B34"/>
    <w:rsid w:val="00AB33B9"/>
    <w:rsid w:val="00AB345D"/>
    <w:rsid w:val="00AB34D8"/>
    <w:rsid w:val="00AB357D"/>
    <w:rsid w:val="00AB3CA8"/>
    <w:rsid w:val="00AB4553"/>
    <w:rsid w:val="00AB4BD7"/>
    <w:rsid w:val="00AC20B7"/>
    <w:rsid w:val="00AC23B0"/>
    <w:rsid w:val="00AC296E"/>
    <w:rsid w:val="00AC2F11"/>
    <w:rsid w:val="00AC2FC2"/>
    <w:rsid w:val="00AC3001"/>
    <w:rsid w:val="00AC3617"/>
    <w:rsid w:val="00AC3C51"/>
    <w:rsid w:val="00AC3D12"/>
    <w:rsid w:val="00AC4004"/>
    <w:rsid w:val="00AC4D92"/>
    <w:rsid w:val="00AC638B"/>
    <w:rsid w:val="00AC69E6"/>
    <w:rsid w:val="00AC778C"/>
    <w:rsid w:val="00AC7D6B"/>
    <w:rsid w:val="00AD06E7"/>
    <w:rsid w:val="00AD12D2"/>
    <w:rsid w:val="00AD26D2"/>
    <w:rsid w:val="00AD26E7"/>
    <w:rsid w:val="00AD28C8"/>
    <w:rsid w:val="00AD5044"/>
    <w:rsid w:val="00AD5476"/>
    <w:rsid w:val="00AE0990"/>
    <w:rsid w:val="00AE0AFB"/>
    <w:rsid w:val="00AE21E6"/>
    <w:rsid w:val="00AE2863"/>
    <w:rsid w:val="00AE33F4"/>
    <w:rsid w:val="00AE3533"/>
    <w:rsid w:val="00AE4D79"/>
    <w:rsid w:val="00AE4E63"/>
    <w:rsid w:val="00AE5D1C"/>
    <w:rsid w:val="00AE61BA"/>
    <w:rsid w:val="00AE76B4"/>
    <w:rsid w:val="00AE76C9"/>
    <w:rsid w:val="00AE7C5E"/>
    <w:rsid w:val="00AF0543"/>
    <w:rsid w:val="00AF0723"/>
    <w:rsid w:val="00AF21F2"/>
    <w:rsid w:val="00AF30B7"/>
    <w:rsid w:val="00AF4B8B"/>
    <w:rsid w:val="00AF4C7B"/>
    <w:rsid w:val="00AF5726"/>
    <w:rsid w:val="00AF6720"/>
    <w:rsid w:val="00AF74DF"/>
    <w:rsid w:val="00AF79AD"/>
    <w:rsid w:val="00B00B45"/>
    <w:rsid w:val="00B00F1F"/>
    <w:rsid w:val="00B0315A"/>
    <w:rsid w:val="00B051F3"/>
    <w:rsid w:val="00B05507"/>
    <w:rsid w:val="00B06189"/>
    <w:rsid w:val="00B06939"/>
    <w:rsid w:val="00B073EE"/>
    <w:rsid w:val="00B07996"/>
    <w:rsid w:val="00B1004C"/>
    <w:rsid w:val="00B10143"/>
    <w:rsid w:val="00B1080E"/>
    <w:rsid w:val="00B117B2"/>
    <w:rsid w:val="00B11B42"/>
    <w:rsid w:val="00B12E4E"/>
    <w:rsid w:val="00B1374A"/>
    <w:rsid w:val="00B14555"/>
    <w:rsid w:val="00B14DCC"/>
    <w:rsid w:val="00B15AB3"/>
    <w:rsid w:val="00B17A20"/>
    <w:rsid w:val="00B17D9A"/>
    <w:rsid w:val="00B20EA5"/>
    <w:rsid w:val="00B211F0"/>
    <w:rsid w:val="00B21D00"/>
    <w:rsid w:val="00B23B07"/>
    <w:rsid w:val="00B23EA0"/>
    <w:rsid w:val="00B242C1"/>
    <w:rsid w:val="00B26B07"/>
    <w:rsid w:val="00B27617"/>
    <w:rsid w:val="00B32840"/>
    <w:rsid w:val="00B32E19"/>
    <w:rsid w:val="00B3361E"/>
    <w:rsid w:val="00B347E7"/>
    <w:rsid w:val="00B34C57"/>
    <w:rsid w:val="00B35469"/>
    <w:rsid w:val="00B354FB"/>
    <w:rsid w:val="00B36866"/>
    <w:rsid w:val="00B36CA2"/>
    <w:rsid w:val="00B37FD6"/>
    <w:rsid w:val="00B40017"/>
    <w:rsid w:val="00B41227"/>
    <w:rsid w:val="00B4126D"/>
    <w:rsid w:val="00B41459"/>
    <w:rsid w:val="00B417B4"/>
    <w:rsid w:val="00B43285"/>
    <w:rsid w:val="00B44335"/>
    <w:rsid w:val="00B456A0"/>
    <w:rsid w:val="00B46B83"/>
    <w:rsid w:val="00B4735F"/>
    <w:rsid w:val="00B50705"/>
    <w:rsid w:val="00B514AC"/>
    <w:rsid w:val="00B529C2"/>
    <w:rsid w:val="00B54137"/>
    <w:rsid w:val="00B5496B"/>
    <w:rsid w:val="00B55562"/>
    <w:rsid w:val="00B556AB"/>
    <w:rsid w:val="00B55A6E"/>
    <w:rsid w:val="00B55D28"/>
    <w:rsid w:val="00B577CE"/>
    <w:rsid w:val="00B57E4C"/>
    <w:rsid w:val="00B604EC"/>
    <w:rsid w:val="00B60747"/>
    <w:rsid w:val="00B613E1"/>
    <w:rsid w:val="00B62264"/>
    <w:rsid w:val="00B62AF1"/>
    <w:rsid w:val="00B63416"/>
    <w:rsid w:val="00B63533"/>
    <w:rsid w:val="00B64F35"/>
    <w:rsid w:val="00B65051"/>
    <w:rsid w:val="00B6596B"/>
    <w:rsid w:val="00B66A84"/>
    <w:rsid w:val="00B66C48"/>
    <w:rsid w:val="00B71269"/>
    <w:rsid w:val="00B72608"/>
    <w:rsid w:val="00B72A24"/>
    <w:rsid w:val="00B731FC"/>
    <w:rsid w:val="00B7415B"/>
    <w:rsid w:val="00B746B3"/>
    <w:rsid w:val="00B76014"/>
    <w:rsid w:val="00B76567"/>
    <w:rsid w:val="00B774F6"/>
    <w:rsid w:val="00B776F7"/>
    <w:rsid w:val="00B81024"/>
    <w:rsid w:val="00B838B1"/>
    <w:rsid w:val="00B84182"/>
    <w:rsid w:val="00B85018"/>
    <w:rsid w:val="00B85095"/>
    <w:rsid w:val="00B85774"/>
    <w:rsid w:val="00B901A8"/>
    <w:rsid w:val="00B90628"/>
    <w:rsid w:val="00B92AD5"/>
    <w:rsid w:val="00B92AEC"/>
    <w:rsid w:val="00B92C88"/>
    <w:rsid w:val="00B932D2"/>
    <w:rsid w:val="00B93AA5"/>
    <w:rsid w:val="00B94707"/>
    <w:rsid w:val="00B94824"/>
    <w:rsid w:val="00B94DC5"/>
    <w:rsid w:val="00B95363"/>
    <w:rsid w:val="00B96243"/>
    <w:rsid w:val="00B965A6"/>
    <w:rsid w:val="00B968C4"/>
    <w:rsid w:val="00B96D26"/>
    <w:rsid w:val="00B974B5"/>
    <w:rsid w:val="00BA001D"/>
    <w:rsid w:val="00BA0A96"/>
    <w:rsid w:val="00BA1B77"/>
    <w:rsid w:val="00BA2055"/>
    <w:rsid w:val="00BA20F7"/>
    <w:rsid w:val="00BA24CF"/>
    <w:rsid w:val="00BA2E8C"/>
    <w:rsid w:val="00BA3A4D"/>
    <w:rsid w:val="00BA451B"/>
    <w:rsid w:val="00BA5464"/>
    <w:rsid w:val="00BA657D"/>
    <w:rsid w:val="00BB057A"/>
    <w:rsid w:val="00BB15D8"/>
    <w:rsid w:val="00BB17C8"/>
    <w:rsid w:val="00BB24E9"/>
    <w:rsid w:val="00BB4297"/>
    <w:rsid w:val="00BB4589"/>
    <w:rsid w:val="00BB4F2D"/>
    <w:rsid w:val="00BB5703"/>
    <w:rsid w:val="00BB6007"/>
    <w:rsid w:val="00BB6963"/>
    <w:rsid w:val="00BC02CA"/>
    <w:rsid w:val="00BC0AA7"/>
    <w:rsid w:val="00BC10B9"/>
    <w:rsid w:val="00BC1565"/>
    <w:rsid w:val="00BC1DCE"/>
    <w:rsid w:val="00BC2F99"/>
    <w:rsid w:val="00BC3016"/>
    <w:rsid w:val="00BC3230"/>
    <w:rsid w:val="00BC3533"/>
    <w:rsid w:val="00BC410E"/>
    <w:rsid w:val="00BC5315"/>
    <w:rsid w:val="00BC5946"/>
    <w:rsid w:val="00BC5C56"/>
    <w:rsid w:val="00BC60D6"/>
    <w:rsid w:val="00BC6E8E"/>
    <w:rsid w:val="00BD1110"/>
    <w:rsid w:val="00BD1848"/>
    <w:rsid w:val="00BD2DBE"/>
    <w:rsid w:val="00BD3845"/>
    <w:rsid w:val="00BD3B4F"/>
    <w:rsid w:val="00BD5AC0"/>
    <w:rsid w:val="00BD6300"/>
    <w:rsid w:val="00BD6C36"/>
    <w:rsid w:val="00BE1521"/>
    <w:rsid w:val="00BE17F2"/>
    <w:rsid w:val="00BE1FD3"/>
    <w:rsid w:val="00BE2FE1"/>
    <w:rsid w:val="00BE3F96"/>
    <w:rsid w:val="00BE4B8C"/>
    <w:rsid w:val="00BE5743"/>
    <w:rsid w:val="00BE6FB6"/>
    <w:rsid w:val="00BE7480"/>
    <w:rsid w:val="00BF12EF"/>
    <w:rsid w:val="00BF184D"/>
    <w:rsid w:val="00BF1B0D"/>
    <w:rsid w:val="00BF3539"/>
    <w:rsid w:val="00BF3824"/>
    <w:rsid w:val="00BF3DD5"/>
    <w:rsid w:val="00BF4122"/>
    <w:rsid w:val="00BF453E"/>
    <w:rsid w:val="00BF50C1"/>
    <w:rsid w:val="00BF696B"/>
    <w:rsid w:val="00C008D6"/>
    <w:rsid w:val="00C00B38"/>
    <w:rsid w:val="00C00EA3"/>
    <w:rsid w:val="00C019A9"/>
    <w:rsid w:val="00C03E8C"/>
    <w:rsid w:val="00C04A9A"/>
    <w:rsid w:val="00C056D8"/>
    <w:rsid w:val="00C063AA"/>
    <w:rsid w:val="00C066A1"/>
    <w:rsid w:val="00C07A7B"/>
    <w:rsid w:val="00C104CA"/>
    <w:rsid w:val="00C119CA"/>
    <w:rsid w:val="00C129C6"/>
    <w:rsid w:val="00C13A5D"/>
    <w:rsid w:val="00C140EA"/>
    <w:rsid w:val="00C14725"/>
    <w:rsid w:val="00C147F6"/>
    <w:rsid w:val="00C1547C"/>
    <w:rsid w:val="00C15BC2"/>
    <w:rsid w:val="00C16A8F"/>
    <w:rsid w:val="00C202AE"/>
    <w:rsid w:val="00C2225B"/>
    <w:rsid w:val="00C23409"/>
    <w:rsid w:val="00C24CDD"/>
    <w:rsid w:val="00C2782E"/>
    <w:rsid w:val="00C27AF8"/>
    <w:rsid w:val="00C30D29"/>
    <w:rsid w:val="00C310B1"/>
    <w:rsid w:val="00C3111F"/>
    <w:rsid w:val="00C31186"/>
    <w:rsid w:val="00C31F44"/>
    <w:rsid w:val="00C31F6D"/>
    <w:rsid w:val="00C33572"/>
    <w:rsid w:val="00C343DC"/>
    <w:rsid w:val="00C34926"/>
    <w:rsid w:val="00C34BA4"/>
    <w:rsid w:val="00C34BAD"/>
    <w:rsid w:val="00C35042"/>
    <w:rsid w:val="00C35BEE"/>
    <w:rsid w:val="00C36F50"/>
    <w:rsid w:val="00C42ED7"/>
    <w:rsid w:val="00C4310B"/>
    <w:rsid w:val="00C4344E"/>
    <w:rsid w:val="00C43A52"/>
    <w:rsid w:val="00C472FF"/>
    <w:rsid w:val="00C47414"/>
    <w:rsid w:val="00C47A66"/>
    <w:rsid w:val="00C50A47"/>
    <w:rsid w:val="00C50E18"/>
    <w:rsid w:val="00C5194E"/>
    <w:rsid w:val="00C51DBC"/>
    <w:rsid w:val="00C52EAD"/>
    <w:rsid w:val="00C534AC"/>
    <w:rsid w:val="00C540BF"/>
    <w:rsid w:val="00C54F9C"/>
    <w:rsid w:val="00C55BAB"/>
    <w:rsid w:val="00C562BD"/>
    <w:rsid w:val="00C566A5"/>
    <w:rsid w:val="00C56BD9"/>
    <w:rsid w:val="00C56C05"/>
    <w:rsid w:val="00C572A2"/>
    <w:rsid w:val="00C57448"/>
    <w:rsid w:val="00C5758C"/>
    <w:rsid w:val="00C60C38"/>
    <w:rsid w:val="00C6159F"/>
    <w:rsid w:val="00C61A65"/>
    <w:rsid w:val="00C623B9"/>
    <w:rsid w:val="00C627AD"/>
    <w:rsid w:val="00C6331A"/>
    <w:rsid w:val="00C63766"/>
    <w:rsid w:val="00C63FCA"/>
    <w:rsid w:val="00C645DE"/>
    <w:rsid w:val="00C64BA5"/>
    <w:rsid w:val="00C65CFA"/>
    <w:rsid w:val="00C66331"/>
    <w:rsid w:val="00C6648B"/>
    <w:rsid w:val="00C66832"/>
    <w:rsid w:val="00C70C9D"/>
    <w:rsid w:val="00C72893"/>
    <w:rsid w:val="00C72B76"/>
    <w:rsid w:val="00C73658"/>
    <w:rsid w:val="00C73AEC"/>
    <w:rsid w:val="00C75974"/>
    <w:rsid w:val="00C76F40"/>
    <w:rsid w:val="00C778D5"/>
    <w:rsid w:val="00C77C9F"/>
    <w:rsid w:val="00C80788"/>
    <w:rsid w:val="00C81559"/>
    <w:rsid w:val="00C83965"/>
    <w:rsid w:val="00C83A90"/>
    <w:rsid w:val="00C845E9"/>
    <w:rsid w:val="00C8554B"/>
    <w:rsid w:val="00C8636F"/>
    <w:rsid w:val="00C86F61"/>
    <w:rsid w:val="00C870A4"/>
    <w:rsid w:val="00C8753B"/>
    <w:rsid w:val="00C87F41"/>
    <w:rsid w:val="00C9027A"/>
    <w:rsid w:val="00C939C3"/>
    <w:rsid w:val="00C950D3"/>
    <w:rsid w:val="00C96FA1"/>
    <w:rsid w:val="00C97282"/>
    <w:rsid w:val="00C972DD"/>
    <w:rsid w:val="00C97478"/>
    <w:rsid w:val="00CA102C"/>
    <w:rsid w:val="00CA19CE"/>
    <w:rsid w:val="00CA2305"/>
    <w:rsid w:val="00CA25F7"/>
    <w:rsid w:val="00CA34CB"/>
    <w:rsid w:val="00CA55B0"/>
    <w:rsid w:val="00CA564E"/>
    <w:rsid w:val="00CA577F"/>
    <w:rsid w:val="00CA5E89"/>
    <w:rsid w:val="00CA6D07"/>
    <w:rsid w:val="00CB1F5F"/>
    <w:rsid w:val="00CB3B2F"/>
    <w:rsid w:val="00CB56A3"/>
    <w:rsid w:val="00CB6CDB"/>
    <w:rsid w:val="00CB71B1"/>
    <w:rsid w:val="00CB71B2"/>
    <w:rsid w:val="00CB7D5B"/>
    <w:rsid w:val="00CC4E15"/>
    <w:rsid w:val="00CC51A8"/>
    <w:rsid w:val="00CC6BE6"/>
    <w:rsid w:val="00CC7278"/>
    <w:rsid w:val="00CD07DA"/>
    <w:rsid w:val="00CD13B4"/>
    <w:rsid w:val="00CD1665"/>
    <w:rsid w:val="00CD34CA"/>
    <w:rsid w:val="00CD366B"/>
    <w:rsid w:val="00CD3F03"/>
    <w:rsid w:val="00CD5161"/>
    <w:rsid w:val="00CD53C9"/>
    <w:rsid w:val="00CD588A"/>
    <w:rsid w:val="00CD5E83"/>
    <w:rsid w:val="00CD6057"/>
    <w:rsid w:val="00CD6124"/>
    <w:rsid w:val="00CE0582"/>
    <w:rsid w:val="00CE06C1"/>
    <w:rsid w:val="00CE0981"/>
    <w:rsid w:val="00CE3CCC"/>
    <w:rsid w:val="00CE45F0"/>
    <w:rsid w:val="00CE4A33"/>
    <w:rsid w:val="00CE6A36"/>
    <w:rsid w:val="00CE7B70"/>
    <w:rsid w:val="00CE7D6D"/>
    <w:rsid w:val="00CF072C"/>
    <w:rsid w:val="00CF136A"/>
    <w:rsid w:val="00CF17D0"/>
    <w:rsid w:val="00CF21C8"/>
    <w:rsid w:val="00CF21F0"/>
    <w:rsid w:val="00CF2F4D"/>
    <w:rsid w:val="00CF4C34"/>
    <w:rsid w:val="00CF5662"/>
    <w:rsid w:val="00CF58B1"/>
    <w:rsid w:val="00CF5B3E"/>
    <w:rsid w:val="00CF5FFF"/>
    <w:rsid w:val="00D0050E"/>
    <w:rsid w:val="00D0118E"/>
    <w:rsid w:val="00D0122E"/>
    <w:rsid w:val="00D01E4B"/>
    <w:rsid w:val="00D0251F"/>
    <w:rsid w:val="00D0296F"/>
    <w:rsid w:val="00D02F13"/>
    <w:rsid w:val="00D07041"/>
    <w:rsid w:val="00D10712"/>
    <w:rsid w:val="00D10B9C"/>
    <w:rsid w:val="00D126B9"/>
    <w:rsid w:val="00D156DB"/>
    <w:rsid w:val="00D1776B"/>
    <w:rsid w:val="00D232F5"/>
    <w:rsid w:val="00D233E0"/>
    <w:rsid w:val="00D240A1"/>
    <w:rsid w:val="00D243FC"/>
    <w:rsid w:val="00D254E8"/>
    <w:rsid w:val="00D2554B"/>
    <w:rsid w:val="00D27502"/>
    <w:rsid w:val="00D30E1E"/>
    <w:rsid w:val="00D31FF4"/>
    <w:rsid w:val="00D3230F"/>
    <w:rsid w:val="00D335AE"/>
    <w:rsid w:val="00D34D11"/>
    <w:rsid w:val="00D34DBE"/>
    <w:rsid w:val="00D35201"/>
    <w:rsid w:val="00D366C6"/>
    <w:rsid w:val="00D37D2B"/>
    <w:rsid w:val="00D403F6"/>
    <w:rsid w:val="00D42201"/>
    <w:rsid w:val="00D42FC3"/>
    <w:rsid w:val="00D43174"/>
    <w:rsid w:val="00D43740"/>
    <w:rsid w:val="00D43BEE"/>
    <w:rsid w:val="00D4478F"/>
    <w:rsid w:val="00D44A78"/>
    <w:rsid w:val="00D44AA6"/>
    <w:rsid w:val="00D44E6D"/>
    <w:rsid w:val="00D45FEC"/>
    <w:rsid w:val="00D47232"/>
    <w:rsid w:val="00D50900"/>
    <w:rsid w:val="00D51481"/>
    <w:rsid w:val="00D514D1"/>
    <w:rsid w:val="00D515E7"/>
    <w:rsid w:val="00D51B0E"/>
    <w:rsid w:val="00D53A7D"/>
    <w:rsid w:val="00D54455"/>
    <w:rsid w:val="00D563FD"/>
    <w:rsid w:val="00D565AC"/>
    <w:rsid w:val="00D567F3"/>
    <w:rsid w:val="00D57C90"/>
    <w:rsid w:val="00D614EA"/>
    <w:rsid w:val="00D627DD"/>
    <w:rsid w:val="00D62F8D"/>
    <w:rsid w:val="00D63E03"/>
    <w:rsid w:val="00D63E62"/>
    <w:rsid w:val="00D64812"/>
    <w:rsid w:val="00D653BB"/>
    <w:rsid w:val="00D65848"/>
    <w:rsid w:val="00D65DDD"/>
    <w:rsid w:val="00D66BBB"/>
    <w:rsid w:val="00D66CE8"/>
    <w:rsid w:val="00D6785A"/>
    <w:rsid w:val="00D70341"/>
    <w:rsid w:val="00D70C3D"/>
    <w:rsid w:val="00D71865"/>
    <w:rsid w:val="00D72B5E"/>
    <w:rsid w:val="00D72C7C"/>
    <w:rsid w:val="00D72FD1"/>
    <w:rsid w:val="00D7408A"/>
    <w:rsid w:val="00D74B09"/>
    <w:rsid w:val="00D74B5F"/>
    <w:rsid w:val="00D7512F"/>
    <w:rsid w:val="00D7515B"/>
    <w:rsid w:val="00D80A23"/>
    <w:rsid w:val="00D80DF3"/>
    <w:rsid w:val="00D8124A"/>
    <w:rsid w:val="00D848B9"/>
    <w:rsid w:val="00D84B90"/>
    <w:rsid w:val="00D84C2A"/>
    <w:rsid w:val="00D850CD"/>
    <w:rsid w:val="00D8527C"/>
    <w:rsid w:val="00D86332"/>
    <w:rsid w:val="00D8688B"/>
    <w:rsid w:val="00D86FCE"/>
    <w:rsid w:val="00D87A24"/>
    <w:rsid w:val="00D90B6D"/>
    <w:rsid w:val="00D91A0D"/>
    <w:rsid w:val="00D92FB3"/>
    <w:rsid w:val="00D93E86"/>
    <w:rsid w:val="00D94893"/>
    <w:rsid w:val="00D95D40"/>
    <w:rsid w:val="00D9794C"/>
    <w:rsid w:val="00D97962"/>
    <w:rsid w:val="00D97F21"/>
    <w:rsid w:val="00DA0541"/>
    <w:rsid w:val="00DA0553"/>
    <w:rsid w:val="00DA0A18"/>
    <w:rsid w:val="00DA0C12"/>
    <w:rsid w:val="00DA1558"/>
    <w:rsid w:val="00DA1A80"/>
    <w:rsid w:val="00DA1ED4"/>
    <w:rsid w:val="00DA1F81"/>
    <w:rsid w:val="00DA232F"/>
    <w:rsid w:val="00DA306D"/>
    <w:rsid w:val="00DA31CA"/>
    <w:rsid w:val="00DA3CE2"/>
    <w:rsid w:val="00DA4619"/>
    <w:rsid w:val="00DA504F"/>
    <w:rsid w:val="00DA581B"/>
    <w:rsid w:val="00DA696F"/>
    <w:rsid w:val="00DB00DE"/>
    <w:rsid w:val="00DB0A42"/>
    <w:rsid w:val="00DB1B98"/>
    <w:rsid w:val="00DB3E52"/>
    <w:rsid w:val="00DB3F1A"/>
    <w:rsid w:val="00DB4B11"/>
    <w:rsid w:val="00DB4B33"/>
    <w:rsid w:val="00DB5C05"/>
    <w:rsid w:val="00DB6AA2"/>
    <w:rsid w:val="00DB724B"/>
    <w:rsid w:val="00DB797F"/>
    <w:rsid w:val="00DC0451"/>
    <w:rsid w:val="00DC0794"/>
    <w:rsid w:val="00DC1DC8"/>
    <w:rsid w:val="00DC2BF3"/>
    <w:rsid w:val="00DC2D36"/>
    <w:rsid w:val="00DC2E19"/>
    <w:rsid w:val="00DC3711"/>
    <w:rsid w:val="00DC3FDA"/>
    <w:rsid w:val="00DC6588"/>
    <w:rsid w:val="00DC72C3"/>
    <w:rsid w:val="00DD09D3"/>
    <w:rsid w:val="00DD2723"/>
    <w:rsid w:val="00DD3683"/>
    <w:rsid w:val="00DD467E"/>
    <w:rsid w:val="00DD51A1"/>
    <w:rsid w:val="00DD62E4"/>
    <w:rsid w:val="00DD65F6"/>
    <w:rsid w:val="00DD6750"/>
    <w:rsid w:val="00DD6EF9"/>
    <w:rsid w:val="00DE352F"/>
    <w:rsid w:val="00DE3E2F"/>
    <w:rsid w:val="00DE5F81"/>
    <w:rsid w:val="00DF113A"/>
    <w:rsid w:val="00DF1A06"/>
    <w:rsid w:val="00DF36F1"/>
    <w:rsid w:val="00DF4B2E"/>
    <w:rsid w:val="00DF538F"/>
    <w:rsid w:val="00DF57AB"/>
    <w:rsid w:val="00DF5A14"/>
    <w:rsid w:val="00DF60BC"/>
    <w:rsid w:val="00DF64ED"/>
    <w:rsid w:val="00DF6BD5"/>
    <w:rsid w:val="00DF7A07"/>
    <w:rsid w:val="00E0042A"/>
    <w:rsid w:val="00E02199"/>
    <w:rsid w:val="00E0269C"/>
    <w:rsid w:val="00E037B1"/>
    <w:rsid w:val="00E03F28"/>
    <w:rsid w:val="00E05AF5"/>
    <w:rsid w:val="00E05FD3"/>
    <w:rsid w:val="00E06B66"/>
    <w:rsid w:val="00E073CC"/>
    <w:rsid w:val="00E11332"/>
    <w:rsid w:val="00E1176C"/>
    <w:rsid w:val="00E11819"/>
    <w:rsid w:val="00E14DEA"/>
    <w:rsid w:val="00E15ABE"/>
    <w:rsid w:val="00E163C5"/>
    <w:rsid w:val="00E167DD"/>
    <w:rsid w:val="00E16FB6"/>
    <w:rsid w:val="00E20AD4"/>
    <w:rsid w:val="00E2131C"/>
    <w:rsid w:val="00E226EA"/>
    <w:rsid w:val="00E237EC"/>
    <w:rsid w:val="00E23C0F"/>
    <w:rsid w:val="00E2410D"/>
    <w:rsid w:val="00E245D8"/>
    <w:rsid w:val="00E24A5B"/>
    <w:rsid w:val="00E24C64"/>
    <w:rsid w:val="00E24F62"/>
    <w:rsid w:val="00E24F67"/>
    <w:rsid w:val="00E25D5B"/>
    <w:rsid w:val="00E26C46"/>
    <w:rsid w:val="00E26E4D"/>
    <w:rsid w:val="00E305A8"/>
    <w:rsid w:val="00E3078D"/>
    <w:rsid w:val="00E318D3"/>
    <w:rsid w:val="00E335F9"/>
    <w:rsid w:val="00E36515"/>
    <w:rsid w:val="00E36F5D"/>
    <w:rsid w:val="00E373A4"/>
    <w:rsid w:val="00E3743C"/>
    <w:rsid w:val="00E40156"/>
    <w:rsid w:val="00E42DB3"/>
    <w:rsid w:val="00E43158"/>
    <w:rsid w:val="00E45448"/>
    <w:rsid w:val="00E458CA"/>
    <w:rsid w:val="00E45EBD"/>
    <w:rsid w:val="00E46E1F"/>
    <w:rsid w:val="00E531E9"/>
    <w:rsid w:val="00E5417D"/>
    <w:rsid w:val="00E54C0C"/>
    <w:rsid w:val="00E55076"/>
    <w:rsid w:val="00E558B5"/>
    <w:rsid w:val="00E55D2F"/>
    <w:rsid w:val="00E56BF2"/>
    <w:rsid w:val="00E60688"/>
    <w:rsid w:val="00E60A70"/>
    <w:rsid w:val="00E60C35"/>
    <w:rsid w:val="00E614B2"/>
    <w:rsid w:val="00E62E38"/>
    <w:rsid w:val="00E633AE"/>
    <w:rsid w:val="00E63DF0"/>
    <w:rsid w:val="00E6585E"/>
    <w:rsid w:val="00E66D29"/>
    <w:rsid w:val="00E71069"/>
    <w:rsid w:val="00E72110"/>
    <w:rsid w:val="00E74424"/>
    <w:rsid w:val="00E7541D"/>
    <w:rsid w:val="00E7605E"/>
    <w:rsid w:val="00E76251"/>
    <w:rsid w:val="00E76470"/>
    <w:rsid w:val="00E76FBA"/>
    <w:rsid w:val="00E77D3A"/>
    <w:rsid w:val="00E80670"/>
    <w:rsid w:val="00E80E22"/>
    <w:rsid w:val="00E820A8"/>
    <w:rsid w:val="00E832A1"/>
    <w:rsid w:val="00E847EB"/>
    <w:rsid w:val="00E852EE"/>
    <w:rsid w:val="00E8571F"/>
    <w:rsid w:val="00E862AB"/>
    <w:rsid w:val="00E90B25"/>
    <w:rsid w:val="00E91344"/>
    <w:rsid w:val="00E925B9"/>
    <w:rsid w:val="00E93748"/>
    <w:rsid w:val="00E93989"/>
    <w:rsid w:val="00E9581D"/>
    <w:rsid w:val="00E95CD5"/>
    <w:rsid w:val="00E97C44"/>
    <w:rsid w:val="00EA001E"/>
    <w:rsid w:val="00EA0F86"/>
    <w:rsid w:val="00EA161E"/>
    <w:rsid w:val="00EA2ACC"/>
    <w:rsid w:val="00EA2F0C"/>
    <w:rsid w:val="00EA3100"/>
    <w:rsid w:val="00EA4864"/>
    <w:rsid w:val="00EA55FC"/>
    <w:rsid w:val="00EA5EB0"/>
    <w:rsid w:val="00EA66B8"/>
    <w:rsid w:val="00EA695F"/>
    <w:rsid w:val="00EB027E"/>
    <w:rsid w:val="00EB02B5"/>
    <w:rsid w:val="00EB02FD"/>
    <w:rsid w:val="00EB1EA3"/>
    <w:rsid w:val="00EB2637"/>
    <w:rsid w:val="00EB3070"/>
    <w:rsid w:val="00EB3206"/>
    <w:rsid w:val="00EB3B11"/>
    <w:rsid w:val="00EB5A05"/>
    <w:rsid w:val="00EB6DA6"/>
    <w:rsid w:val="00EB772D"/>
    <w:rsid w:val="00EC00FD"/>
    <w:rsid w:val="00EC01C2"/>
    <w:rsid w:val="00EC0CD0"/>
    <w:rsid w:val="00EC3B0C"/>
    <w:rsid w:val="00EC4A61"/>
    <w:rsid w:val="00EC70BC"/>
    <w:rsid w:val="00EC75CA"/>
    <w:rsid w:val="00EC79EA"/>
    <w:rsid w:val="00ED0221"/>
    <w:rsid w:val="00ED02A4"/>
    <w:rsid w:val="00ED10E7"/>
    <w:rsid w:val="00ED15DE"/>
    <w:rsid w:val="00ED2904"/>
    <w:rsid w:val="00ED3221"/>
    <w:rsid w:val="00ED35F6"/>
    <w:rsid w:val="00ED60FD"/>
    <w:rsid w:val="00ED6AE7"/>
    <w:rsid w:val="00ED7087"/>
    <w:rsid w:val="00EE0F66"/>
    <w:rsid w:val="00EE10C8"/>
    <w:rsid w:val="00EE1192"/>
    <w:rsid w:val="00EE12F8"/>
    <w:rsid w:val="00EE1469"/>
    <w:rsid w:val="00EE194F"/>
    <w:rsid w:val="00EE42EC"/>
    <w:rsid w:val="00EE4842"/>
    <w:rsid w:val="00EE4FF4"/>
    <w:rsid w:val="00EE55D6"/>
    <w:rsid w:val="00EE7676"/>
    <w:rsid w:val="00EE7C00"/>
    <w:rsid w:val="00EF0452"/>
    <w:rsid w:val="00EF14E2"/>
    <w:rsid w:val="00EF3C49"/>
    <w:rsid w:val="00EF5370"/>
    <w:rsid w:val="00EF563B"/>
    <w:rsid w:val="00EF56B7"/>
    <w:rsid w:val="00EF7B0E"/>
    <w:rsid w:val="00F0085E"/>
    <w:rsid w:val="00F01A56"/>
    <w:rsid w:val="00F01FB0"/>
    <w:rsid w:val="00F02752"/>
    <w:rsid w:val="00F03CFE"/>
    <w:rsid w:val="00F0431B"/>
    <w:rsid w:val="00F0478C"/>
    <w:rsid w:val="00F05D64"/>
    <w:rsid w:val="00F06F5B"/>
    <w:rsid w:val="00F10164"/>
    <w:rsid w:val="00F1213F"/>
    <w:rsid w:val="00F13096"/>
    <w:rsid w:val="00F13188"/>
    <w:rsid w:val="00F14512"/>
    <w:rsid w:val="00F14659"/>
    <w:rsid w:val="00F15185"/>
    <w:rsid w:val="00F17209"/>
    <w:rsid w:val="00F20A3E"/>
    <w:rsid w:val="00F21830"/>
    <w:rsid w:val="00F22A8F"/>
    <w:rsid w:val="00F2456B"/>
    <w:rsid w:val="00F25CE2"/>
    <w:rsid w:val="00F26044"/>
    <w:rsid w:val="00F26AED"/>
    <w:rsid w:val="00F2728B"/>
    <w:rsid w:val="00F27BC9"/>
    <w:rsid w:val="00F30682"/>
    <w:rsid w:val="00F32060"/>
    <w:rsid w:val="00F3247F"/>
    <w:rsid w:val="00F33732"/>
    <w:rsid w:val="00F33806"/>
    <w:rsid w:val="00F3464B"/>
    <w:rsid w:val="00F34CBE"/>
    <w:rsid w:val="00F354EE"/>
    <w:rsid w:val="00F355CF"/>
    <w:rsid w:val="00F3639B"/>
    <w:rsid w:val="00F3695E"/>
    <w:rsid w:val="00F36FE8"/>
    <w:rsid w:val="00F379CB"/>
    <w:rsid w:val="00F37B66"/>
    <w:rsid w:val="00F37C40"/>
    <w:rsid w:val="00F400A7"/>
    <w:rsid w:val="00F40AF2"/>
    <w:rsid w:val="00F40B54"/>
    <w:rsid w:val="00F411A6"/>
    <w:rsid w:val="00F447E3"/>
    <w:rsid w:val="00F45CF5"/>
    <w:rsid w:val="00F475AE"/>
    <w:rsid w:val="00F4765B"/>
    <w:rsid w:val="00F51AE0"/>
    <w:rsid w:val="00F51B1A"/>
    <w:rsid w:val="00F51E8A"/>
    <w:rsid w:val="00F51F6D"/>
    <w:rsid w:val="00F52180"/>
    <w:rsid w:val="00F529C9"/>
    <w:rsid w:val="00F5317D"/>
    <w:rsid w:val="00F53CBC"/>
    <w:rsid w:val="00F53D48"/>
    <w:rsid w:val="00F559B0"/>
    <w:rsid w:val="00F567E9"/>
    <w:rsid w:val="00F56AE3"/>
    <w:rsid w:val="00F57E83"/>
    <w:rsid w:val="00F6082F"/>
    <w:rsid w:val="00F61B99"/>
    <w:rsid w:val="00F63BDB"/>
    <w:rsid w:val="00F64125"/>
    <w:rsid w:val="00F64585"/>
    <w:rsid w:val="00F654CD"/>
    <w:rsid w:val="00F6594C"/>
    <w:rsid w:val="00F669E1"/>
    <w:rsid w:val="00F670A9"/>
    <w:rsid w:val="00F67B60"/>
    <w:rsid w:val="00F704AE"/>
    <w:rsid w:val="00F70E46"/>
    <w:rsid w:val="00F71556"/>
    <w:rsid w:val="00F72ACB"/>
    <w:rsid w:val="00F72E8F"/>
    <w:rsid w:val="00F74AE5"/>
    <w:rsid w:val="00F76376"/>
    <w:rsid w:val="00F76A22"/>
    <w:rsid w:val="00F771AD"/>
    <w:rsid w:val="00F773F9"/>
    <w:rsid w:val="00F806E5"/>
    <w:rsid w:val="00F81008"/>
    <w:rsid w:val="00F82C49"/>
    <w:rsid w:val="00F8524D"/>
    <w:rsid w:val="00F855AD"/>
    <w:rsid w:val="00F856DE"/>
    <w:rsid w:val="00F87452"/>
    <w:rsid w:val="00F879F1"/>
    <w:rsid w:val="00F87AB4"/>
    <w:rsid w:val="00F9011E"/>
    <w:rsid w:val="00F906B7"/>
    <w:rsid w:val="00F915EA"/>
    <w:rsid w:val="00F9186F"/>
    <w:rsid w:val="00F91BA2"/>
    <w:rsid w:val="00F9450B"/>
    <w:rsid w:val="00F94892"/>
    <w:rsid w:val="00F94A94"/>
    <w:rsid w:val="00F94FBD"/>
    <w:rsid w:val="00F97D6F"/>
    <w:rsid w:val="00FA007D"/>
    <w:rsid w:val="00FA03B5"/>
    <w:rsid w:val="00FA0555"/>
    <w:rsid w:val="00FA0DC6"/>
    <w:rsid w:val="00FA0F5B"/>
    <w:rsid w:val="00FA1294"/>
    <w:rsid w:val="00FA1EC2"/>
    <w:rsid w:val="00FA2DB3"/>
    <w:rsid w:val="00FA34BB"/>
    <w:rsid w:val="00FA502A"/>
    <w:rsid w:val="00FA58A5"/>
    <w:rsid w:val="00FA6582"/>
    <w:rsid w:val="00FA782A"/>
    <w:rsid w:val="00FB0613"/>
    <w:rsid w:val="00FB0DE0"/>
    <w:rsid w:val="00FB1916"/>
    <w:rsid w:val="00FB279A"/>
    <w:rsid w:val="00FB27D7"/>
    <w:rsid w:val="00FB2CA8"/>
    <w:rsid w:val="00FB2D97"/>
    <w:rsid w:val="00FB3ADC"/>
    <w:rsid w:val="00FB43D3"/>
    <w:rsid w:val="00FB4974"/>
    <w:rsid w:val="00FB4CC4"/>
    <w:rsid w:val="00FB60F1"/>
    <w:rsid w:val="00FB65C2"/>
    <w:rsid w:val="00FB682B"/>
    <w:rsid w:val="00FB7BC4"/>
    <w:rsid w:val="00FC01B1"/>
    <w:rsid w:val="00FC20C2"/>
    <w:rsid w:val="00FC2DD5"/>
    <w:rsid w:val="00FC2EB3"/>
    <w:rsid w:val="00FC42C2"/>
    <w:rsid w:val="00FC5182"/>
    <w:rsid w:val="00FC5C0D"/>
    <w:rsid w:val="00FC73A3"/>
    <w:rsid w:val="00FC756F"/>
    <w:rsid w:val="00FD1934"/>
    <w:rsid w:val="00FD3D57"/>
    <w:rsid w:val="00FD4D16"/>
    <w:rsid w:val="00FD51D0"/>
    <w:rsid w:val="00FD5748"/>
    <w:rsid w:val="00FD6F96"/>
    <w:rsid w:val="00FD7098"/>
    <w:rsid w:val="00FE03DA"/>
    <w:rsid w:val="00FE1852"/>
    <w:rsid w:val="00FE264F"/>
    <w:rsid w:val="00FE2EAE"/>
    <w:rsid w:val="00FE339A"/>
    <w:rsid w:val="00FE374F"/>
    <w:rsid w:val="00FE3AC5"/>
    <w:rsid w:val="00FE4C32"/>
    <w:rsid w:val="00FE4E6B"/>
    <w:rsid w:val="00FE5781"/>
    <w:rsid w:val="00FE5B07"/>
    <w:rsid w:val="00FE610C"/>
    <w:rsid w:val="00FE630D"/>
    <w:rsid w:val="00FE6B42"/>
    <w:rsid w:val="00FE6B74"/>
    <w:rsid w:val="00FE6B92"/>
    <w:rsid w:val="00FE7B04"/>
    <w:rsid w:val="00FF05AE"/>
    <w:rsid w:val="00FF065C"/>
    <w:rsid w:val="00FF27CE"/>
    <w:rsid w:val="00FF2B01"/>
    <w:rsid w:val="00FF2E7A"/>
    <w:rsid w:val="00FF2ECD"/>
    <w:rsid w:val="00FF34FE"/>
    <w:rsid w:val="00FF3BDD"/>
    <w:rsid w:val="00FF40B8"/>
    <w:rsid w:val="00FF4433"/>
    <w:rsid w:val="00FF45FB"/>
    <w:rsid w:val="00FF5082"/>
    <w:rsid w:val="00FF593E"/>
    <w:rsid w:val="00FF7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1443C"/>
  <w15:chartTrackingRefBased/>
  <w15:docId w15:val="{52F6D784-CDAB-4356-ADD1-AACD8F63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C37"/>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631C37"/>
    <w:pPr>
      <w:keepNext/>
      <w:keepLines/>
      <w:jc w:val="center"/>
      <w:outlineLvl w:val="0"/>
    </w:pPr>
    <w:rPr>
      <w:rFonts w:eastAsiaTheme="majorEastAsia" w:cstheme="majorBidi"/>
      <w:caps/>
      <w:color w:val="000000" w:themeColor="text1"/>
      <w:szCs w:val="32"/>
    </w:rPr>
  </w:style>
  <w:style w:type="paragraph" w:styleId="Heading2">
    <w:name w:val="heading 2"/>
    <w:basedOn w:val="Normal"/>
    <w:next w:val="Normal"/>
    <w:link w:val="Heading2Char"/>
    <w:uiPriority w:val="9"/>
    <w:unhideWhenUsed/>
    <w:qFormat/>
    <w:rsid w:val="00844F20"/>
    <w:pPr>
      <w:keepNext/>
      <w:keepLines/>
      <w:jc w:val="cente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44F20"/>
    <w:pPr>
      <w:keepNext/>
      <w:keepLines/>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44F20"/>
    <w:pPr>
      <w:keepNext/>
      <w:keepLines/>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275BE2"/>
    <w:pPr>
      <w:keepNext/>
      <w:keepLines/>
      <w:spacing w:before="40"/>
      <w:ind w:left="72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275BE2"/>
    <w:pPr>
      <w:keepNext/>
      <w:keepLines/>
      <w:spacing w:before="40"/>
      <w:ind w:left="720"/>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C37"/>
    <w:rPr>
      <w:rFonts w:ascii="Times New Roman" w:eastAsiaTheme="majorEastAsia" w:hAnsi="Times New Roman" w:cstheme="majorBidi"/>
      <w:caps/>
      <w:color w:val="000000" w:themeColor="text1"/>
      <w:sz w:val="24"/>
      <w:szCs w:val="32"/>
    </w:rPr>
  </w:style>
  <w:style w:type="character" w:customStyle="1" w:styleId="Heading2Char">
    <w:name w:val="Heading 2 Char"/>
    <w:basedOn w:val="DefaultParagraphFont"/>
    <w:link w:val="Heading2"/>
    <w:uiPriority w:val="9"/>
    <w:rsid w:val="00844F2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44F2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844F20"/>
    <w:rPr>
      <w:rFonts w:ascii="Times New Roman" w:eastAsiaTheme="majorEastAsia" w:hAnsi="Times New Roman" w:cstheme="majorBidi"/>
      <w:b/>
      <w:i/>
      <w:iCs/>
      <w:color w:val="000000" w:themeColor="text1"/>
      <w:sz w:val="24"/>
    </w:rPr>
  </w:style>
  <w:style w:type="paragraph" w:styleId="Caption">
    <w:name w:val="caption"/>
    <w:basedOn w:val="Normal"/>
    <w:next w:val="Normal"/>
    <w:uiPriority w:val="35"/>
    <w:unhideWhenUsed/>
    <w:qFormat/>
    <w:rsid w:val="00410075"/>
    <w:pPr>
      <w:spacing w:after="200" w:line="240" w:lineRule="auto"/>
    </w:pPr>
    <w:rPr>
      <w:i/>
      <w:iCs/>
      <w:color w:val="44546A" w:themeColor="text2"/>
      <w:sz w:val="18"/>
      <w:szCs w:val="18"/>
    </w:rPr>
  </w:style>
  <w:style w:type="paragraph" w:customStyle="1" w:styleId="Default">
    <w:name w:val="Default"/>
    <w:rsid w:val="00410075"/>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44">
    <w:name w:val="CM44"/>
    <w:basedOn w:val="Default"/>
    <w:next w:val="Default"/>
    <w:rsid w:val="00410075"/>
    <w:pPr>
      <w:spacing w:after="358"/>
    </w:pPr>
    <w:rPr>
      <w:color w:val="auto"/>
    </w:rPr>
  </w:style>
  <w:style w:type="paragraph" w:styleId="TOC2">
    <w:name w:val="toc 2"/>
    <w:basedOn w:val="Normal"/>
    <w:next w:val="Normal"/>
    <w:autoRedefine/>
    <w:uiPriority w:val="39"/>
    <w:unhideWhenUsed/>
    <w:rsid w:val="00587679"/>
    <w:pPr>
      <w:spacing w:after="100"/>
    </w:pPr>
  </w:style>
  <w:style w:type="paragraph" w:styleId="TOC6">
    <w:name w:val="toc 6"/>
    <w:basedOn w:val="Normal"/>
    <w:next w:val="Normal"/>
    <w:autoRedefine/>
    <w:uiPriority w:val="39"/>
    <w:unhideWhenUsed/>
    <w:rsid w:val="00E614B2"/>
    <w:pPr>
      <w:spacing w:after="100"/>
      <w:ind w:left="1200"/>
    </w:pPr>
  </w:style>
  <w:style w:type="paragraph" w:styleId="TOC1">
    <w:name w:val="toc 1"/>
    <w:basedOn w:val="Normal"/>
    <w:next w:val="Normal"/>
    <w:autoRedefine/>
    <w:uiPriority w:val="39"/>
    <w:unhideWhenUsed/>
    <w:rsid w:val="00E614B2"/>
    <w:rPr>
      <w:caps/>
    </w:rPr>
  </w:style>
  <w:style w:type="paragraph" w:styleId="TOC3">
    <w:name w:val="toc 3"/>
    <w:basedOn w:val="Normal"/>
    <w:next w:val="Normal"/>
    <w:autoRedefine/>
    <w:uiPriority w:val="39"/>
    <w:unhideWhenUsed/>
    <w:rsid w:val="00E614B2"/>
    <w:pPr>
      <w:spacing w:after="100"/>
      <w:ind w:left="480"/>
    </w:pPr>
  </w:style>
  <w:style w:type="paragraph" w:styleId="TOC4">
    <w:name w:val="toc 4"/>
    <w:basedOn w:val="Normal"/>
    <w:next w:val="Normal"/>
    <w:autoRedefine/>
    <w:uiPriority w:val="39"/>
    <w:unhideWhenUsed/>
    <w:rsid w:val="00E614B2"/>
    <w:pPr>
      <w:spacing w:after="100"/>
      <w:ind w:left="720"/>
    </w:pPr>
  </w:style>
  <w:style w:type="character" w:styleId="Hyperlink">
    <w:name w:val="Hyperlink"/>
    <w:basedOn w:val="DefaultParagraphFont"/>
    <w:uiPriority w:val="99"/>
    <w:unhideWhenUsed/>
    <w:rsid w:val="00E614B2"/>
    <w:rPr>
      <w:color w:val="0563C1" w:themeColor="hyperlink"/>
      <w:u w:val="single"/>
    </w:rPr>
  </w:style>
  <w:style w:type="paragraph" w:styleId="ListParagraph">
    <w:name w:val="List Paragraph"/>
    <w:basedOn w:val="Normal"/>
    <w:uiPriority w:val="34"/>
    <w:qFormat/>
    <w:rsid w:val="00112CD8"/>
    <w:pPr>
      <w:ind w:left="720"/>
      <w:contextualSpacing/>
    </w:pPr>
  </w:style>
  <w:style w:type="paragraph" w:styleId="TableofFigures">
    <w:name w:val="table of figures"/>
    <w:basedOn w:val="Normal"/>
    <w:next w:val="Normal"/>
    <w:uiPriority w:val="99"/>
    <w:unhideWhenUsed/>
    <w:rsid w:val="00FC5182"/>
  </w:style>
  <w:style w:type="character" w:styleId="UnresolvedMention">
    <w:name w:val="Unresolved Mention"/>
    <w:basedOn w:val="DefaultParagraphFont"/>
    <w:uiPriority w:val="99"/>
    <w:semiHidden/>
    <w:unhideWhenUsed/>
    <w:rsid w:val="00447BCE"/>
    <w:rPr>
      <w:color w:val="605E5C"/>
      <w:shd w:val="clear" w:color="auto" w:fill="E1DFDD"/>
    </w:rPr>
  </w:style>
  <w:style w:type="paragraph" w:styleId="Header">
    <w:name w:val="header"/>
    <w:basedOn w:val="Normal"/>
    <w:link w:val="HeaderChar"/>
    <w:uiPriority w:val="99"/>
    <w:unhideWhenUsed/>
    <w:rsid w:val="00E7605E"/>
    <w:pPr>
      <w:tabs>
        <w:tab w:val="center" w:pos="4680"/>
        <w:tab w:val="right" w:pos="9360"/>
      </w:tabs>
      <w:spacing w:line="240" w:lineRule="auto"/>
    </w:pPr>
  </w:style>
  <w:style w:type="character" w:customStyle="1" w:styleId="HeaderChar">
    <w:name w:val="Header Char"/>
    <w:basedOn w:val="DefaultParagraphFont"/>
    <w:link w:val="Header"/>
    <w:uiPriority w:val="99"/>
    <w:rsid w:val="00E7605E"/>
    <w:rPr>
      <w:rFonts w:ascii="Times New Roman" w:hAnsi="Times New Roman"/>
      <w:sz w:val="24"/>
    </w:rPr>
  </w:style>
  <w:style w:type="paragraph" w:styleId="Footer">
    <w:name w:val="footer"/>
    <w:basedOn w:val="Normal"/>
    <w:link w:val="FooterChar"/>
    <w:uiPriority w:val="99"/>
    <w:unhideWhenUsed/>
    <w:rsid w:val="00E7605E"/>
    <w:pPr>
      <w:tabs>
        <w:tab w:val="center" w:pos="4680"/>
        <w:tab w:val="right" w:pos="9360"/>
      </w:tabs>
      <w:spacing w:line="240" w:lineRule="auto"/>
    </w:pPr>
  </w:style>
  <w:style w:type="character" w:customStyle="1" w:styleId="FooterChar">
    <w:name w:val="Footer Char"/>
    <w:basedOn w:val="DefaultParagraphFont"/>
    <w:link w:val="Footer"/>
    <w:uiPriority w:val="99"/>
    <w:rsid w:val="00E7605E"/>
    <w:rPr>
      <w:rFonts w:ascii="Times New Roman" w:hAnsi="Times New Roman"/>
      <w:sz w:val="24"/>
    </w:rPr>
  </w:style>
  <w:style w:type="character" w:customStyle="1" w:styleId="Heading5Char">
    <w:name w:val="Heading 5 Char"/>
    <w:basedOn w:val="DefaultParagraphFont"/>
    <w:link w:val="Heading5"/>
    <w:uiPriority w:val="9"/>
    <w:rsid w:val="00275BE2"/>
    <w:rPr>
      <w:rFonts w:ascii="Times New Roman" w:eastAsiaTheme="majorEastAsia" w:hAnsi="Times New Roman" w:cstheme="majorBidi"/>
      <w:b/>
      <w:sz w:val="24"/>
    </w:rPr>
  </w:style>
  <w:style w:type="character" w:customStyle="1" w:styleId="Heading6Char">
    <w:name w:val="Heading 6 Char"/>
    <w:basedOn w:val="DefaultParagraphFont"/>
    <w:link w:val="Heading6"/>
    <w:uiPriority w:val="9"/>
    <w:semiHidden/>
    <w:rsid w:val="00275BE2"/>
    <w:rPr>
      <w:rFonts w:ascii="Times New Roman" w:eastAsiaTheme="majorEastAsia" w:hAnsi="Times New Roman" w:cstheme="majorBidi"/>
      <w:b/>
      <w:i/>
      <w:sz w:val="24"/>
    </w:rPr>
  </w:style>
  <w:style w:type="paragraph" w:styleId="TOC5">
    <w:name w:val="toc 5"/>
    <w:basedOn w:val="Normal"/>
    <w:next w:val="Normal"/>
    <w:autoRedefine/>
    <w:uiPriority w:val="39"/>
    <w:unhideWhenUsed/>
    <w:rsid w:val="00587679"/>
    <w:pPr>
      <w:spacing w:after="100"/>
      <w:ind w:left="960"/>
    </w:pPr>
  </w:style>
  <w:style w:type="paragraph" w:styleId="BalloonText">
    <w:name w:val="Balloon Text"/>
    <w:basedOn w:val="Normal"/>
    <w:link w:val="BalloonTextChar"/>
    <w:uiPriority w:val="99"/>
    <w:semiHidden/>
    <w:unhideWhenUsed/>
    <w:rsid w:val="00BC410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10E"/>
    <w:rPr>
      <w:rFonts w:ascii="Segoe UI" w:hAnsi="Segoe UI" w:cs="Segoe UI"/>
      <w:sz w:val="18"/>
      <w:szCs w:val="18"/>
    </w:rPr>
  </w:style>
  <w:style w:type="paragraph" w:styleId="NormalWeb">
    <w:name w:val="Normal (Web)"/>
    <w:basedOn w:val="Normal"/>
    <w:uiPriority w:val="99"/>
    <w:unhideWhenUsed/>
    <w:rsid w:val="00A866B8"/>
    <w:pPr>
      <w:spacing w:before="100" w:beforeAutospacing="1" w:after="100" w:afterAutospacing="1" w:line="240" w:lineRule="auto"/>
    </w:pPr>
    <w:rPr>
      <w:rFonts w:eastAsia="Times New Roman" w:cs="Times New Roman"/>
      <w:szCs w:val="24"/>
    </w:rPr>
  </w:style>
  <w:style w:type="character" w:styleId="FollowedHyperlink">
    <w:name w:val="FollowedHyperlink"/>
    <w:basedOn w:val="DefaultParagraphFont"/>
    <w:uiPriority w:val="99"/>
    <w:semiHidden/>
    <w:unhideWhenUsed/>
    <w:rsid w:val="00EB3206"/>
    <w:rPr>
      <w:color w:val="954F72" w:themeColor="followedHyperlink"/>
      <w:u w:val="single"/>
    </w:rPr>
  </w:style>
  <w:style w:type="character" w:styleId="CommentReference">
    <w:name w:val="annotation reference"/>
    <w:basedOn w:val="DefaultParagraphFont"/>
    <w:uiPriority w:val="99"/>
    <w:semiHidden/>
    <w:unhideWhenUsed/>
    <w:rsid w:val="00FB7BC4"/>
    <w:rPr>
      <w:sz w:val="16"/>
      <w:szCs w:val="16"/>
    </w:rPr>
  </w:style>
  <w:style w:type="paragraph" w:styleId="CommentText">
    <w:name w:val="annotation text"/>
    <w:basedOn w:val="Normal"/>
    <w:link w:val="CommentTextChar"/>
    <w:uiPriority w:val="99"/>
    <w:semiHidden/>
    <w:unhideWhenUsed/>
    <w:rsid w:val="00FB7BC4"/>
    <w:pPr>
      <w:spacing w:line="240" w:lineRule="auto"/>
    </w:pPr>
    <w:rPr>
      <w:sz w:val="20"/>
      <w:szCs w:val="20"/>
    </w:rPr>
  </w:style>
  <w:style w:type="character" w:customStyle="1" w:styleId="CommentTextChar">
    <w:name w:val="Comment Text Char"/>
    <w:basedOn w:val="DefaultParagraphFont"/>
    <w:link w:val="CommentText"/>
    <w:uiPriority w:val="99"/>
    <w:semiHidden/>
    <w:rsid w:val="00FB7BC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B7BC4"/>
    <w:rPr>
      <w:b/>
      <w:bCs/>
    </w:rPr>
  </w:style>
  <w:style w:type="character" w:customStyle="1" w:styleId="CommentSubjectChar">
    <w:name w:val="Comment Subject Char"/>
    <w:basedOn w:val="CommentTextChar"/>
    <w:link w:val="CommentSubject"/>
    <w:uiPriority w:val="99"/>
    <w:semiHidden/>
    <w:rsid w:val="00FB7BC4"/>
    <w:rPr>
      <w:rFonts w:ascii="Times New Roman" w:hAnsi="Times New Roman"/>
      <w:b/>
      <w:bCs/>
      <w:sz w:val="20"/>
      <w:szCs w:val="20"/>
    </w:rPr>
  </w:style>
  <w:style w:type="paragraph" w:customStyle="1" w:styleId="DecimalAligned">
    <w:name w:val="Decimal Aligned"/>
    <w:basedOn w:val="Normal"/>
    <w:uiPriority w:val="40"/>
    <w:qFormat/>
    <w:rsid w:val="00960FA9"/>
    <w:pPr>
      <w:tabs>
        <w:tab w:val="decimal" w:pos="360"/>
      </w:tabs>
      <w:spacing w:after="200" w:line="276" w:lineRule="auto"/>
    </w:pPr>
    <w:rPr>
      <w:rFonts w:asciiTheme="minorHAnsi" w:eastAsiaTheme="minorEastAsia" w:hAnsiTheme="minorHAnsi" w:cs="Times New Roman"/>
      <w:sz w:val="22"/>
    </w:rPr>
  </w:style>
  <w:style w:type="paragraph" w:styleId="FootnoteText">
    <w:name w:val="footnote text"/>
    <w:basedOn w:val="Normal"/>
    <w:link w:val="FootnoteTextChar"/>
    <w:uiPriority w:val="99"/>
    <w:unhideWhenUsed/>
    <w:rsid w:val="00960FA9"/>
    <w:pPr>
      <w:spacing w:line="240" w:lineRule="auto"/>
    </w:pPr>
    <w:rPr>
      <w:rFonts w:asciiTheme="minorHAnsi" w:eastAsiaTheme="minorEastAsia" w:hAnsiTheme="minorHAnsi" w:cs="Times New Roman"/>
      <w:sz w:val="20"/>
      <w:szCs w:val="20"/>
    </w:rPr>
  </w:style>
  <w:style w:type="character" w:customStyle="1" w:styleId="FootnoteTextChar">
    <w:name w:val="Footnote Text Char"/>
    <w:basedOn w:val="DefaultParagraphFont"/>
    <w:link w:val="FootnoteText"/>
    <w:uiPriority w:val="99"/>
    <w:rsid w:val="00960FA9"/>
    <w:rPr>
      <w:rFonts w:eastAsiaTheme="minorEastAsia" w:cs="Times New Roman"/>
      <w:sz w:val="20"/>
      <w:szCs w:val="20"/>
    </w:rPr>
  </w:style>
  <w:style w:type="character" w:styleId="SubtleEmphasis">
    <w:name w:val="Subtle Emphasis"/>
    <w:basedOn w:val="DefaultParagraphFont"/>
    <w:uiPriority w:val="19"/>
    <w:qFormat/>
    <w:rsid w:val="00960FA9"/>
    <w:rPr>
      <w:i/>
      <w:iCs/>
    </w:rPr>
  </w:style>
  <w:style w:type="table" w:styleId="LightShading-Accent1">
    <w:name w:val="Light Shading Accent 1"/>
    <w:basedOn w:val="TableNormal"/>
    <w:uiPriority w:val="60"/>
    <w:rsid w:val="00960FA9"/>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BA6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72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F24B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0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n.gov/content/dam/tn/education/ccte/SDC_Phase-Out_FAQ_FINAL.pdf" TargetMode="External"/><Relationship Id="rId21" Type="http://schemas.openxmlformats.org/officeDocument/2006/relationships/hyperlink" Target="https://files.eric.ed.gov/fulltext/EJ1139694.pdf" TargetMode="External"/><Relationship Id="rId42" Type="http://schemas.openxmlformats.org/officeDocument/2006/relationships/hyperlink" Target="https://www.nelsonmullins.com/storage/6m7RYWldxUX7tdPoHlGgzkawmHR62fFhL6C4QmGx.pdf" TargetMode="External"/><Relationship Id="rId63" Type="http://schemas.openxmlformats.org/officeDocument/2006/relationships/hyperlink" Target="https://doi.org/10.1002/cc.20283" TargetMode="External"/><Relationship Id="rId84" Type="http://schemas.openxmlformats.org/officeDocument/2006/relationships/hyperlink" Target="https://copilot.microsoft.com/" TargetMode="External"/><Relationship Id="rId138" Type="http://schemas.openxmlformats.org/officeDocument/2006/relationships/hyperlink" Target="https://doi.org/10.3102/0002831221991138" TargetMode="External"/><Relationship Id="rId107" Type="http://schemas.openxmlformats.org/officeDocument/2006/relationships/hyperlink" Target="https://www.tbr.edu/sites/default/files/2015-25-TBR-Strategic-Plan.pdf" TargetMode="External"/><Relationship Id="rId11" Type="http://schemas.openxmlformats.org/officeDocument/2006/relationships/image" Target="media/image4.png"/><Relationship Id="rId32" Type="http://schemas.openxmlformats.org/officeDocument/2006/relationships/hyperlink" Target="https://ccrc.tc.columbia.edu/research/high-school-to-college.html" TargetMode="External"/><Relationship Id="rId37" Type="http://schemas.openxmlformats.org/officeDocument/2006/relationships/hyperlink" Target="https://files.eric.ed.gov/fulltext/EJ1219804.pdf" TargetMode="External"/><Relationship Id="rId53" Type="http://schemas.openxmlformats.org/officeDocument/2006/relationships/hyperlink" Target="https://edwp.educ.msu.edu/te/wp-content/uploads/sites/3/2012/03/ASHE_2010_Gilbert_Heller.pdf" TargetMode="External"/><Relationship Id="rId58" Type="http://schemas.openxmlformats.org/officeDocument/2006/relationships/hyperlink" Target="https://www.ecs.org/wp-content/uploads/Policy-Snapshot-Outcomes-Based-Funding.pdf" TargetMode="External"/><Relationship Id="rId74" Type="http://schemas.openxmlformats.org/officeDocument/2006/relationships/hyperlink" Target="https://doi.org/10.3102/0034654318787268" TargetMode="External"/><Relationship Id="rId79" Type="http://schemas.openxmlformats.org/officeDocument/2006/relationships/hyperlink" Target="https://www.ecs.org/wp-content/uploads/Advancing-Dual-Enrollment-Equity-Through-State-Policy.pdf" TargetMode="External"/><Relationship Id="rId102" Type="http://schemas.openxmlformats.org/officeDocument/2006/relationships/hyperlink" Target="https://doi.org/10.1002/cc.20128" TargetMode="External"/><Relationship Id="rId123" Type="http://schemas.openxmlformats.org/officeDocument/2006/relationships/hyperlink" Target="https://www.tn.gov/content/dam/tn/thec/bureau/research/other-research/master-plan/finalmp.pdf" TargetMode="External"/><Relationship Id="rId128" Type="http://schemas.openxmlformats.org/officeDocument/2006/relationships/hyperlink" Target="https://tnscore.org/assets/documents/EPSO-Report-Digital-Final.pdf" TargetMode="External"/><Relationship Id="rId5" Type="http://schemas.openxmlformats.org/officeDocument/2006/relationships/webSettings" Target="webSettings.xml"/><Relationship Id="rId90" Type="http://schemas.openxmlformats.org/officeDocument/2006/relationships/hyperlink" Target="https://sr.ithaka.org/wp-content/uploads/2024/12/SR-Report-Tailored-Support-for-First-Year-First-Generation-College-Students-121924-2.pdf" TargetMode="External"/><Relationship Id="rId95" Type="http://schemas.openxmlformats.org/officeDocument/2006/relationships/hyperlink" Target="https://doi.org/10.1177/15210251231170331" TargetMode="External"/><Relationship Id="rId22" Type="http://schemas.openxmlformats.org/officeDocument/2006/relationships/hyperlink" Target="https://doi.org/10.1080/01933922.2020.1856250" TargetMode="External"/><Relationship Id="rId27" Type="http://schemas.openxmlformats.org/officeDocument/2006/relationships/hyperlink" Target="http://doi.org/10.1177/1932202X18801274" TargetMode="External"/><Relationship Id="rId43" Type="http://schemas.openxmlformats.org/officeDocument/2006/relationships/hyperlink" Target="https://ccrc.tc.columbia.edu/easyblog/how-many-students-are-taking-dual-enrollment-courses-in-high-school-new-national-state-and-college-level-data.html" TargetMode="External"/><Relationship Id="rId48" Type="http://schemas.openxmlformats.org/officeDocument/2006/relationships/hyperlink" Target="https://www.trellisstrategies.org/wp-content/uploads/2025/04/SFWS-Aggregate-Report_FALL-2024_FINAL.pdf" TargetMode="External"/><Relationship Id="rId64" Type="http://schemas.openxmlformats.org/officeDocument/2006/relationships/hyperlink" Target="https://doi.org/10.1002/cc.20133" TargetMode="External"/><Relationship Id="rId69" Type="http://schemas.openxmlformats.org/officeDocument/2006/relationships/hyperlink" Target="https://ccrc.tc.columbia.edu/wp-content/uploads/2012/06/dual-enrollment-college-completion-TN-peer-states.pdf" TargetMode="External"/><Relationship Id="rId113" Type="http://schemas.openxmlformats.org/officeDocument/2006/relationships/hyperlink" Target="https://www.tn.gov/education/students/early-postsecondary/international-baccalaureate.html" TargetMode="External"/><Relationship Id="rId118" Type="http://schemas.openxmlformats.org/officeDocument/2006/relationships/hyperlink" Target="https://www.tn.gov/content/dam/tn/education/ccte/ccte_ready_graduate_overview_2018-19.pdf" TargetMode="External"/><Relationship Id="rId134" Type="http://schemas.openxmlformats.org/officeDocument/2006/relationships/hyperlink" Target="https://files.eric.ed.gov/fulltext/ED661434.pdf" TargetMode="External"/><Relationship Id="rId139" Type="http://schemas.openxmlformats.org/officeDocument/2006/relationships/hyperlink" Target="https://dc.etsu.edu/etd/3852" TargetMode="External"/><Relationship Id="rId80" Type="http://schemas.openxmlformats.org/officeDocument/2006/relationships/hyperlink" Target="https://nces.ed.gov/pubs2013/2013002.pdf" TargetMode="External"/><Relationship Id="rId85" Type="http://schemas.openxmlformats.org/officeDocument/2006/relationships/hyperlink" Target="https://doi.org/10.1080/10668926.2019.1688734" TargetMode="External"/><Relationship Id="rId12" Type="http://schemas.openxmlformats.org/officeDocument/2006/relationships/image" Target="media/image5.png"/><Relationship Id="rId17" Type="http://schemas.openxmlformats.org/officeDocument/2006/relationships/hyperlink" Target="https://doi.org/10.1002/he.20010" TargetMode="External"/><Relationship Id="rId33" Type="http://schemas.openxmlformats.org/officeDocument/2006/relationships/hyperlink" Target="https://ccrc.tc.columbia.edu/wp-content/uploads/2012/03/dual-enrollment-research-overview.pdf" TargetMode="External"/><Relationship Id="rId38" Type="http://schemas.openxmlformats.org/officeDocument/2006/relationships/hyperlink" Target="https://edreformnow.org/wp-content/uploads/2019/02/ERN-AEE-Fast-Track-FINAL.pdf" TargetMode="External"/><Relationship Id="rId59" Type="http://schemas.openxmlformats.org/officeDocument/2006/relationships/hyperlink" Target="https://surveys.nces.ed.gov/ipeds/public/glossary" TargetMode="External"/><Relationship Id="rId103" Type="http://schemas.openxmlformats.org/officeDocument/2006/relationships/hyperlink" Target="https://www.tbr.edu/policy-strategy/terms" TargetMode="External"/><Relationship Id="rId108" Type="http://schemas.openxmlformats.org/officeDocument/2006/relationships/hyperlink" Target="https://www.tbr.edu/news/dual-enrollment-high-school-students-tennessee%E2%80%99s-community-technical-colleges-increased-68" TargetMode="External"/><Relationship Id="rId124" Type="http://schemas.openxmlformats.org/officeDocument/2006/relationships/hyperlink" Target="https://www.tn.gov/content/dam/tn/thec/cm/2022/winter/12%20Regular%20IV_THEC%20Jan%202022_GIVE%20SPARC.pdf" TargetMode="External"/><Relationship Id="rId129" Type="http://schemas.openxmlformats.org/officeDocument/2006/relationships/hyperlink" Target="https://www.tn.gov/former-governor-haslam/priorities/tennessee-education-transformation.html" TargetMode="External"/><Relationship Id="rId54" Type="http://schemas.openxmlformats.org/officeDocument/2006/relationships/hyperlink" Target="https://doi.org/10.1177/0091552116682590" TargetMode="External"/><Relationship Id="rId70" Type="http://schemas.openxmlformats.org/officeDocument/2006/relationships/hyperlink" Target="https://cpe.ky.gov/data/reports/dualcreditbrief-2.pdf" TargetMode="External"/><Relationship Id="rId75" Type="http://schemas.openxmlformats.org/officeDocument/2006/relationships/hyperlink" Target="https://doi.org/10.1007/s11162-021-09667-3" TargetMode="External"/><Relationship Id="rId91" Type="http://schemas.openxmlformats.org/officeDocument/2006/relationships/hyperlink" Target="https://comptroller.tn.gov/content/dam/cot/orea/advanced-search/2020/OBFprimer.pdf" TargetMode="External"/><Relationship Id="rId96" Type="http://schemas.openxmlformats.org/officeDocument/2006/relationships/hyperlink" Target="https://doi.org/10.1177/001100008100900202" TargetMode="External"/><Relationship Id="rId140" Type="http://schemas.openxmlformats.org/officeDocument/2006/relationships/hyperlink" Target="https://files.eric.ed.gov/fulltext/ED582909.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crc.tc.columbia.edu/wp-content/uploads/2002/03/dual-enrollment-easing-transitions.pdf" TargetMode="External"/><Relationship Id="rId28" Type="http://schemas.openxmlformats.org/officeDocument/2006/relationships/hyperlink" Target="https://doi.org/10.1177/0091552112472227" TargetMode="External"/><Relationship Id="rId49" Type="http://schemas.openxmlformats.org/officeDocument/2006/relationships/hyperlink" Target="https://www.fldoe.org/core/fileparse.php/5421/urlt/dualenrollmentfaq.pdf" TargetMode="External"/><Relationship Id="rId114" Type="http://schemas.openxmlformats.org/officeDocument/2006/relationships/hyperlink" Target="https://www.tn.gov/education/students/early-postsecondary/local-dual-credit.html" TargetMode="External"/><Relationship Id="rId119" Type="http://schemas.openxmlformats.org/officeDocument/2006/relationships/hyperlink" Target="https://www.tn.gov/content/dam/tn/education/accountability/acct/2020-21_ReadyGrad.UserGuide_20210209_Final%20(2).pdf" TargetMode="External"/><Relationship Id="rId44" Type="http://schemas.openxmlformats.org/officeDocument/2006/relationships/hyperlink" Target="https://ccrc.tc.columbia.edu/easyblog/high-school-dual-enrollment-grows.html" TargetMode="External"/><Relationship Id="rId60" Type="http://schemas.openxmlformats.org/officeDocument/2006/relationships/hyperlink" Target="https://scholarsjunction.msstate.edu/cgi/viewcontent.cgi?article=5401&amp;context=td" TargetMode="External"/><Relationship Id="rId65" Type="http://schemas.openxmlformats.org/officeDocument/2006/relationships/hyperlink" Target="https://doi.org/10.1002/he.20011" TargetMode="External"/><Relationship Id="rId81" Type="http://schemas.openxmlformats.org/officeDocument/2006/relationships/hyperlink" Target="https://doi.org/10.1080/15700763.2017.1326149" TargetMode="External"/><Relationship Id="rId86" Type="http://schemas.openxmlformats.org/officeDocument/2006/relationships/hyperlink" Target="https://www.insidehighered.com/news/student-success/college-experience/2023/07/20/survey-college-students-dont-know-about-support" TargetMode="External"/><Relationship Id="rId130" Type="http://schemas.openxmlformats.org/officeDocument/2006/relationships/hyperlink" Target="https://www.capitol.tn.gov/Bills/114/Fiscal/FM1407.pdf" TargetMode="External"/><Relationship Id="rId135" Type="http://schemas.openxmlformats.org/officeDocument/2006/relationships/hyperlink" Target="https://doi.org.10.1177/0091552115569846" TargetMode="External"/><Relationship Id="rId13" Type="http://schemas.openxmlformats.org/officeDocument/2006/relationships/image" Target="media/image6.png"/><Relationship Id="rId18" Type="http://schemas.openxmlformats.org/officeDocument/2006/relationships/hyperlink" Target="https://www.aacc.nche.edu/wp-content/uploads/2019/08/Crisis-in-Enrollment-2019.pdf" TargetMode="External"/><Relationship Id="rId39" Type="http://schemas.openxmlformats.org/officeDocument/2006/relationships/hyperlink" Target="https://files.eric.ed.gov/fulltext/ED527751.pdf" TargetMode="External"/><Relationship Id="rId109" Type="http://schemas.openxmlformats.org/officeDocument/2006/relationships/hyperlink" Target="https://comptroller.tn.gov/content/dam/cot/orea/advanced-search/2023/OBF2023Update.pdf" TargetMode="External"/><Relationship Id="rId34" Type="http://schemas.openxmlformats.org/officeDocument/2006/relationships/hyperlink" Target="https://ccrc.tc.columbia.edu/wp-content/uploads/2024/04/understanding-dual-enrollment.pdf" TargetMode="External"/><Relationship Id="rId50" Type="http://schemas.openxmlformats.org/officeDocument/2006/relationships/hyperlink" Target="https://journals.sagepub.com/doi/epdf/10.1177/10526846241292631" TargetMode="External"/><Relationship Id="rId55" Type="http://schemas.openxmlformats.org/officeDocument/2006/relationships/hyperlink" Target="https://doi.org/10.3102/01623737211052310" TargetMode="External"/><Relationship Id="rId76" Type="http://schemas.openxmlformats.org/officeDocument/2006/relationships/hyperlink" Target="https://doi.org/10.10824669.2022.2100994" TargetMode="External"/><Relationship Id="rId97" Type="http://schemas.openxmlformats.org/officeDocument/2006/relationships/hyperlink" Target="https://files.eric.ed.gov/fulltext/ED602451.pdf" TargetMode="External"/><Relationship Id="rId104" Type="http://schemas.openxmlformats.org/officeDocument/2006/relationships/hyperlink" Target="https://www.tbr.edu/initiatives/governors-drive-55" TargetMode="External"/><Relationship Id="rId120" Type="http://schemas.openxmlformats.org/officeDocument/2006/relationships/hyperlink" Target="https://www.tn.gov/content/dam/tn/stateboardofeducation/documents/2023-sbe-meetings/february-10%2C-2023-sbe-meeting/2-10-23%20IV%20C%20High%20School%20Policy%202.103%20Clean.pdf" TargetMode="External"/><Relationship Id="rId125" Type="http://schemas.openxmlformats.org/officeDocument/2006/relationships/hyperlink" Target="https://www.tn.gov/content/dam/tn/thec/news/news_media/2024/THEC%20CGR%20Release%20Class%20of%2023.pdf" TargetMode="External"/><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files.eric.ed.gov/fulltext/ED495242.pdf" TargetMode="External"/><Relationship Id="rId92" Type="http://schemas.openxmlformats.org/officeDocument/2006/relationships/hyperlink" Target="https://doi.org/10.1080/10668926.2021.1991858" TargetMode="External"/><Relationship Id="rId2" Type="http://schemas.openxmlformats.org/officeDocument/2006/relationships/numbering" Target="numbering.xml"/><Relationship Id="rId29" Type="http://schemas.openxmlformats.org/officeDocument/2006/relationships/hyperlink" Target="https://doi.org/10.1177/1932202X211004901" TargetMode="External"/><Relationship Id="rId24" Type="http://schemas.openxmlformats.org/officeDocument/2006/relationships/hyperlink" Target="https://files.eric.ed.gov/fulltext/ED475805.pdf" TargetMode="External"/><Relationship Id="rId40" Type="http://schemas.openxmlformats.org/officeDocument/2006/relationships/hyperlink" Target="https://doi.org/10.1080/19345747.2016.1191574" TargetMode="External"/><Relationship Id="rId45" Type="http://schemas.openxmlformats.org/officeDocument/2006/relationships/hyperlink" Target="https://ccrc.tc.columbia.edu/easyblog/rethinking-dual-enrollment-eligibility-policies-post-pandemic.html" TargetMode="External"/><Relationship Id="rId66" Type="http://schemas.openxmlformats.org/officeDocument/2006/relationships/hyperlink" Target="https://doi.org/10.1002/cc.20137" TargetMode="External"/><Relationship Id="rId87" Type="http://schemas.openxmlformats.org/officeDocument/2006/relationships/hyperlink" Target="https://obamawhitehouse.archives.gov/sites/default/files/100326-community-college-fact-sheet.pdf" TargetMode="External"/><Relationship Id="rId110" Type="http://schemas.openxmlformats.org/officeDocument/2006/relationships/hyperlink" Target="https://www.tn.gov/education/students/early-postsecondary/dual-enrollment.html" TargetMode="External"/><Relationship Id="rId115" Type="http://schemas.openxmlformats.org/officeDocument/2006/relationships/hyperlink" Target="https://www.tn.gov/education/educators/career-and-technical-education/student-industry-certification.html" TargetMode="External"/><Relationship Id="rId131" Type="http://schemas.openxmlformats.org/officeDocument/2006/relationships/hyperlink" Target="https://comptroller.tn.gov/content/dam/cot/orea/advanced-search/2017/2017_OREA_OutcomesBasedFund.pdf" TargetMode="External"/><Relationship Id="rId136" Type="http://schemas.openxmlformats.org/officeDocument/2006/relationships/hyperlink" Target="https://doi.org/10.1002/cc.20519" TargetMode="External"/><Relationship Id="rId61" Type="http://schemas.openxmlformats.org/officeDocument/2006/relationships/hyperlink" Target="https://doi.org/10.1177/15210251211056319" TargetMode="External"/><Relationship Id="rId82" Type="http://schemas.openxmlformats.org/officeDocument/2006/relationships/hyperlink" Target="https://files.eric.ed.gov/fulltext/ED603803.pdf" TargetMode="External"/><Relationship Id="rId19" Type="http://schemas.openxmlformats.org/officeDocument/2006/relationships/hyperlink" Target="https://www.aacc.nche.edu/wp-content/uploads/2025/02/AACC2025_Fact_Sheet.pdf" TargetMode="External"/><Relationship Id="rId14" Type="http://schemas.openxmlformats.org/officeDocument/2006/relationships/image" Target="media/image7.png"/><Relationship Id="rId30" Type="http://schemas.openxmlformats.org/officeDocument/2006/relationships/hyperlink" Target="https://www.collegefortn.org/dualenrollment/" TargetMode="External"/><Relationship Id="rId35" Type="http://schemas.openxmlformats.org/officeDocument/2006/relationships/hyperlink" Target="https://completega.org/momentum-approach" TargetMode="External"/><Relationship Id="rId56" Type="http://schemas.openxmlformats.org/officeDocument/2006/relationships/hyperlink" Target="https://doi.org/10.1177/2167696820922052" TargetMode="External"/><Relationship Id="rId77" Type="http://schemas.openxmlformats.org/officeDocument/2006/relationships/hyperlink" Target="https://doi.org/10.1080/10668926.2016.1264899" TargetMode="External"/><Relationship Id="rId100" Type="http://schemas.openxmlformats.org/officeDocument/2006/relationships/hyperlink" Target="https://files.eric.ed.gov/fulltext/ED537253.pdf" TargetMode="External"/><Relationship Id="rId105" Type="http://schemas.openxmlformats.org/officeDocument/2006/relationships/hyperlink" Target="https://www.tbr.edu/institutions/our-institutions" TargetMode="External"/><Relationship Id="rId126" Type="http://schemas.openxmlformats.org/officeDocument/2006/relationships/hyperlink" Target="https://www.tn.gov/content/dam/tn/governorsoffice-documents/governorsoffice-documents/CCTA_2018_One_Pager.pdf" TargetMode="External"/><Relationship Id="rId8" Type="http://schemas.openxmlformats.org/officeDocument/2006/relationships/image" Target="media/image1.png"/><Relationship Id="rId51" Type="http://schemas.openxmlformats.org/officeDocument/2006/relationships/hyperlink" Target="https://ccrc.tc.columbia.edu/wp-content/uploads/2024/10/dual-enrollment-boosts-college-sucess-gaps-remain.docx.pdf" TargetMode="External"/><Relationship Id="rId72" Type="http://schemas.openxmlformats.org/officeDocument/2006/relationships/hyperlink" Target="https://ccrc.tc.columbia.edu/easyblog/prioritizing-time-completion-community-college-students.html" TargetMode="External"/><Relationship Id="rId93" Type="http://schemas.openxmlformats.org/officeDocument/2006/relationships/hyperlink" Target="https://doi.org/10.1002/cc.20129" TargetMode="External"/><Relationship Id="rId98" Type="http://schemas.openxmlformats.org/officeDocument/2006/relationships/hyperlink" Target="https://ccrc.tc.columbia.edu/wp-content/uploads/2024/01/waiving-goodbye-placement-testing-broadening-benefits.pdf" TargetMode="External"/><Relationship Id="rId121" Type="http://schemas.openxmlformats.org/officeDocument/2006/relationships/hyperlink" Target="https://www.tn.gov/content/dam/tn/thec/bureau/research/other-research/master-plan/MasterPlan2025_0418.pdf"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doi.org/10.3102/01623737221091574" TargetMode="External"/><Relationship Id="rId46" Type="http://schemas.openxmlformats.org/officeDocument/2006/relationships/hyperlink" Target="https://ccrc.tc.columbia.edu/wp-content/uploads/2017/09/what-happens-community-college-dual-enrollment-students.pdf" TargetMode="External"/><Relationship Id="rId67" Type="http://schemas.openxmlformats.org/officeDocument/2006/relationships/hyperlink" Target="https://ccrc.tc.columbia.edu/wp-content/uploads/2008/10/dual-enrollment-student-outcomes.pdf" TargetMode="External"/><Relationship Id="rId116" Type="http://schemas.openxmlformats.org/officeDocument/2006/relationships/hyperlink" Target="https://www.tn.gov/education/students/early-postsecondary/dual-credit.html" TargetMode="External"/><Relationship Id="rId137" Type="http://schemas.openxmlformats.org/officeDocument/2006/relationships/hyperlink" Target="https://www.ncan.org/news/681687/New-Report-Cost-Remains-the-Largest-Barrier-to-Higher-Ed.htm" TargetMode="External"/><Relationship Id="rId20" Type="http://schemas.openxmlformats.org/officeDocument/2006/relationships/hyperlink" Target="https://www.nacep.org/docs/briefs/An%20%26%20Taylor%20%282019%29.pdf" TargetMode="External"/><Relationship Id="rId41" Type="http://schemas.openxmlformats.org/officeDocument/2006/relationships/hyperlink" Target="https://reports.ecs.org/comparisons/dual-concurrent-enrollment-2022-eligibility" TargetMode="External"/><Relationship Id="rId62" Type="http://schemas.openxmlformats.org/officeDocument/2006/relationships/hyperlink" Target="https://doi.org/10.1080/10668926.2010.532449" TargetMode="External"/><Relationship Id="rId83" Type="http://schemas.openxmlformats.org/officeDocument/2006/relationships/hyperlink" Target="https://www.icpel.org/uploads/1/5/6/2/15622000/elrdr_fall_2022_volume_10.pdf" TargetMode="External"/><Relationship Id="rId88" Type="http://schemas.openxmlformats.org/officeDocument/2006/relationships/hyperlink" Target="https://obamawhitehouse.archives.gov/sites/default/files/docs/education_record.pdf" TargetMode="External"/><Relationship Id="rId111" Type="http://schemas.openxmlformats.org/officeDocument/2006/relationships/hyperlink" Target="https://www.tn.gov/education/students/early-postsecondary.html" TargetMode="External"/><Relationship Id="rId132" Type="http://schemas.openxmlformats.org/officeDocument/2006/relationships/hyperlink" Target="https://doi.org/10.1111/sipr.12085" TargetMode="External"/><Relationship Id="rId15" Type="http://schemas.openxmlformats.org/officeDocument/2006/relationships/hyperlink" Target="https://careertech.org/blog/the-shift-in-accountability-how-states-and-districts-can-prepare/" TargetMode="External"/><Relationship Id="rId36" Type="http://schemas.openxmlformats.org/officeDocument/2006/relationships/hyperlink" Target="https://files.eric.ed.gov/fulltext/ED537876.pdf" TargetMode="External"/><Relationship Id="rId57" Type="http://schemas.openxmlformats.org/officeDocument/2006/relationships/hyperlink" Target="https://doi-org.iris.etsu.edu/10.1002/he.20009" TargetMode="External"/><Relationship Id="rId106" Type="http://schemas.openxmlformats.org/officeDocument/2006/relationships/hyperlink" Target="https://www.tbr.edu/initiatives/tn-promise" TargetMode="External"/><Relationship Id="rId127" Type="http://schemas.openxmlformats.org/officeDocument/2006/relationships/hyperlink" Target="https://www.tn.gov/former-governor-haslam/2018-legislative-priorities/completion.html" TargetMode="External"/><Relationship Id="rId10" Type="http://schemas.openxmlformats.org/officeDocument/2006/relationships/image" Target="media/image3.png"/><Relationship Id="rId31" Type="http://schemas.openxmlformats.org/officeDocument/2006/relationships/hyperlink" Target="https://www.collegefortn.org/wp-content/uploads/2025/07/DEG-2025-2026.pdf" TargetMode="External"/><Relationship Id="rId52" Type="http://schemas.openxmlformats.org/officeDocument/2006/relationships/hyperlink" Target="https://doi.org/10.1353/hsj.2014.0007" TargetMode="External"/><Relationship Id="rId73" Type="http://schemas.openxmlformats.org/officeDocument/2006/relationships/hyperlink" Target="https://www.insidehighered.com/news/institutions/community-colleges/2022/11/21/community-colleges-struggle-dual-enrollment-grows" TargetMode="External"/><Relationship Id="rId78" Type="http://schemas.openxmlformats.org/officeDocument/2006/relationships/hyperlink" Target="https://files.eric.ed.gov/fulltext/ED617371.pdf" TargetMode="External"/><Relationship Id="rId94" Type="http://schemas.openxmlformats.org/officeDocument/2006/relationships/hyperlink" Target="https://doi.org/10.3102/00028312241257453" TargetMode="External"/><Relationship Id="rId99" Type="http://schemas.openxmlformats.org/officeDocument/2006/relationships/hyperlink" Target="https://files.eric.ed.gov/fulltext/ED527528.pdf" TargetMode="External"/><Relationship Id="rId101" Type="http://schemas.openxmlformats.org/officeDocument/2006/relationships/hyperlink" Target="https://cherp.utah.edu/_resources/documents/publications/research_priorities_for_advancing_equitable_dual_enrollment_policy_and_practice.pdf" TargetMode="External"/><Relationship Id="rId122" Type="http://schemas.openxmlformats.org/officeDocument/2006/relationships/hyperlink" Target="https://www.tn.gov/content/dam/tn/thec/bureau/fiscal_admin/fiscal_pol/obff/2023-24/Outcomes%20Based%20Funding%20Formula%20Overview%20-%20One%20Page.pdf"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doi.org/10.26300/0cw6-fe07" TargetMode="External"/><Relationship Id="rId47" Type="http://schemas.openxmlformats.org/officeDocument/2006/relationships/hyperlink" Target="https://ccrc.tc.columbia.edu/wp-content/uploads/2023/10/revamping-dual-enrollment-equitable-college-degree-paths_1-1.pdf" TargetMode="External"/><Relationship Id="rId68" Type="http://schemas.openxmlformats.org/officeDocument/2006/relationships/hyperlink" Target="https://files.eric.ed.gov/fulltext/EJ815413.pdf" TargetMode="External"/><Relationship Id="rId89" Type="http://schemas.openxmlformats.org/officeDocument/2006/relationships/hyperlink" Target="https://nscresearchcenter.org/persistence-retention/" TargetMode="External"/><Relationship Id="rId112" Type="http://schemas.openxmlformats.org/officeDocument/2006/relationships/hyperlink" Target="https://www.tn.gov/content/dam/tn/education/ccte/eps/epso_opportunities_poster_web.pdf" TargetMode="External"/><Relationship Id="rId133" Type="http://schemas.openxmlformats.org/officeDocument/2006/relationships/hyperlink" Target="https://ccrc.tc.columbia.edu/wp-content/uploads/2024/11/what-do-de-students-want.pdf" TargetMode="External"/><Relationship Id="rId16" Type="http://schemas.openxmlformats.org/officeDocument/2006/relationships/hyperlink" Target="https://careertech.org/wp-content/uploads/sites/default/files/files/resources/StateofCTE_EPSO_03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86BA4-0291-445F-A37F-C26F28E6D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113</Pages>
  <Words>23488</Words>
  <Characters>160999</Characters>
  <Application>Microsoft Office Word</Application>
  <DocSecurity>0</DocSecurity>
  <Lines>1341</Lines>
  <Paragraphs>368</Paragraphs>
  <ScaleCrop>false</ScaleCrop>
  <HeadingPairs>
    <vt:vector size="2" baseType="variant">
      <vt:variant>
        <vt:lpstr>Title</vt:lpstr>
      </vt:variant>
      <vt:variant>
        <vt:i4>1</vt:i4>
      </vt:variant>
    </vt:vector>
  </HeadingPairs>
  <TitlesOfParts>
    <vt:vector size="1" baseType="lpstr">
      <vt:lpstr/>
    </vt:vector>
  </TitlesOfParts>
  <Company>East Tennessee State University</Company>
  <LinksUpToDate>false</LinksUpToDate>
  <CharactersWithSpaces>184119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 Emily Frances</dc:creator>
  <cp:keywords/>
  <dc:description/>
  <cp:lastModifiedBy>Peters, Misty N</cp:lastModifiedBy>
  <cp:revision>2</cp:revision>
  <cp:lastPrinted>2026-03-02T22:28:00Z</cp:lastPrinted>
  <dcterms:created xsi:type="dcterms:W3CDTF">2026-03-15T13:29:00Z</dcterms:created>
  <dcterms:modified xsi:type="dcterms:W3CDTF">2026-03-15T13:29:00Z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09bedcfc-7987-4c79-abed-9a2b54766f86</vt:lpwstr>
  </property>
</Properties>
</file>