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00"/>
        <w:ind w:left="17" w:right="17"/>
        <w:jc w:val="center"/>
      </w:pPr>
      <w:bookmarkStart w:name="ABSTRACT " w:id="1"/>
      <w:bookmarkEnd w:id="1"/>
      <w:r>
        <w:rPr/>
      </w:r>
      <w:r>
        <w:rPr>
          <w:spacing w:val="-2"/>
        </w:rPr>
        <w:t>ABSTRACT</w:t>
      </w:r>
    </w:p>
    <w:p>
      <w:pPr>
        <w:pStyle w:val="BodyText"/>
        <w:spacing w:before="240"/>
      </w:pPr>
    </w:p>
    <w:p>
      <w:pPr>
        <w:pStyle w:val="BodyText"/>
        <w:spacing w:line="480" w:lineRule="auto"/>
        <w:ind w:left="17"/>
        <w:jc w:val="center"/>
      </w:pPr>
      <w:r>
        <w:rPr/>
        <w:t>Kindergarten</w:t>
      </w:r>
      <w:r>
        <w:rPr>
          <w:spacing w:val="-4"/>
        </w:rPr>
        <w:t> </w:t>
      </w:r>
      <w:r>
        <w:rPr/>
        <w:t>AIMSweb</w:t>
      </w:r>
      <w:r>
        <w:rPr>
          <w:spacing w:val="-4"/>
        </w:rPr>
        <w:t> </w:t>
      </w:r>
      <w:r>
        <w:rPr/>
        <w:t>ELA</w:t>
      </w:r>
      <w:r>
        <w:rPr>
          <w:spacing w:val="-4"/>
        </w:rPr>
        <w:t> </w:t>
      </w:r>
      <w:r>
        <w:rPr/>
        <w:t>Composite</w:t>
      </w:r>
      <w:r>
        <w:rPr>
          <w:spacing w:val="-4"/>
        </w:rPr>
        <w:t> </w:t>
      </w:r>
      <w:r>
        <w:rPr/>
        <w:t>as</w:t>
      </w:r>
      <w:r>
        <w:rPr>
          <w:spacing w:val="-4"/>
        </w:rPr>
        <w:t> </w:t>
      </w:r>
      <w:r>
        <w:rPr/>
        <w:t>a</w:t>
      </w:r>
      <w:r>
        <w:rPr>
          <w:spacing w:val="-4"/>
        </w:rPr>
        <w:t> </w:t>
      </w:r>
      <w:r>
        <w:rPr/>
        <w:t>Predictor</w:t>
      </w:r>
      <w:r>
        <w:rPr>
          <w:spacing w:val="-4"/>
        </w:rPr>
        <w:t> </w:t>
      </w:r>
      <w:r>
        <w:rPr/>
        <w:t>of</w:t>
      </w:r>
      <w:r>
        <w:rPr>
          <w:spacing w:val="-4"/>
        </w:rPr>
        <w:t> </w:t>
      </w:r>
      <w:r>
        <w:rPr/>
        <w:t>Third-Grade</w:t>
      </w:r>
      <w:r>
        <w:rPr>
          <w:spacing w:val="-4"/>
        </w:rPr>
        <w:t> </w:t>
      </w:r>
      <w:r>
        <w:rPr/>
        <w:t>Reading</w:t>
      </w:r>
      <w:r>
        <w:rPr>
          <w:spacing w:val="-4"/>
        </w:rPr>
        <w:t> </w:t>
      </w:r>
      <w:r>
        <w:rPr/>
        <w:t>Proficiency</w:t>
      </w:r>
      <w:r>
        <w:rPr>
          <w:spacing w:val="-4"/>
        </w:rPr>
        <w:t> </w:t>
      </w:r>
      <w:r>
        <w:rPr/>
        <w:t>in</w:t>
      </w:r>
      <w:r>
        <w:rPr>
          <w:spacing w:val="-4"/>
        </w:rPr>
        <w:t> </w:t>
      </w:r>
      <w:r>
        <w:rPr/>
        <w:t>a Rural, High-Poverty School District</w:t>
      </w:r>
    </w:p>
    <w:p>
      <w:pPr>
        <w:pStyle w:val="BodyText"/>
        <w:spacing w:before="240"/>
        <w:ind w:left="17" w:right="2"/>
        <w:jc w:val="center"/>
      </w:pPr>
      <w:r>
        <w:rPr>
          <w:spacing w:val="-5"/>
        </w:rPr>
        <w:t>by</w:t>
      </w:r>
    </w:p>
    <w:p>
      <w:pPr>
        <w:pStyle w:val="BodyText"/>
        <w:spacing w:before="240"/>
      </w:pPr>
    </w:p>
    <w:p>
      <w:pPr>
        <w:pStyle w:val="BodyText"/>
        <w:ind w:left="17" w:right="2"/>
        <w:jc w:val="center"/>
      </w:pPr>
      <w:r>
        <w:rPr/>
        <w:t>Christi Jenkins </w:t>
      </w:r>
      <w:r>
        <w:rPr>
          <w:spacing w:val="-2"/>
        </w:rPr>
        <w:t>Gentry</w:t>
      </w:r>
    </w:p>
    <w:p>
      <w:pPr>
        <w:pStyle w:val="BodyText"/>
        <w:spacing w:before="240"/>
      </w:pPr>
    </w:p>
    <w:p>
      <w:pPr>
        <w:pStyle w:val="BodyText"/>
        <w:spacing w:line="480" w:lineRule="auto"/>
        <w:ind w:right="43"/>
      </w:pPr>
      <w:r>
        <w:rPr>
          <w:color w:val="1F1F1F"/>
        </w:rPr>
        <w:t>Reading proficiency by the end of third grade is a critical milestone as students transition from learning to read to using reading as a tool for learning. In Tennessee, this proficiency is especially significant because promotion and retention decisions are linked to student performance</w:t>
      </w:r>
      <w:r>
        <w:rPr>
          <w:color w:val="1F1F1F"/>
          <w:spacing w:val="-2"/>
        </w:rPr>
        <w:t> </w:t>
      </w:r>
      <w:r>
        <w:rPr>
          <w:color w:val="1F1F1F"/>
        </w:rPr>
        <w:t>on</w:t>
      </w:r>
      <w:r>
        <w:rPr>
          <w:color w:val="1F1F1F"/>
          <w:spacing w:val="-2"/>
        </w:rPr>
        <w:t> </w:t>
      </w:r>
      <w:r>
        <w:rPr>
          <w:color w:val="1F1F1F"/>
        </w:rPr>
        <w:t>the</w:t>
      </w:r>
      <w:r>
        <w:rPr>
          <w:color w:val="1F1F1F"/>
          <w:spacing w:val="-2"/>
        </w:rPr>
        <w:t> </w:t>
      </w:r>
      <w:r>
        <w:rPr>
          <w:color w:val="1F1F1F"/>
        </w:rPr>
        <w:t>Tennessee</w:t>
      </w:r>
      <w:r>
        <w:rPr>
          <w:color w:val="1F1F1F"/>
          <w:spacing w:val="-2"/>
        </w:rPr>
        <w:t> </w:t>
      </w:r>
      <w:r>
        <w:rPr>
          <w:color w:val="1F1F1F"/>
        </w:rPr>
        <w:t>Comprehensive</w:t>
      </w:r>
      <w:r>
        <w:rPr>
          <w:color w:val="1F1F1F"/>
          <w:spacing w:val="-2"/>
        </w:rPr>
        <w:t> </w:t>
      </w:r>
      <w:r>
        <w:rPr>
          <w:color w:val="1F1F1F"/>
        </w:rPr>
        <w:t>Assessment</w:t>
      </w:r>
      <w:r>
        <w:rPr>
          <w:color w:val="1F1F1F"/>
          <w:spacing w:val="-2"/>
        </w:rPr>
        <w:t> </w:t>
      </w:r>
      <w:r>
        <w:rPr>
          <w:color w:val="1F1F1F"/>
        </w:rPr>
        <w:t>Program</w:t>
      </w:r>
      <w:r>
        <w:rPr>
          <w:color w:val="1F1F1F"/>
          <w:spacing w:val="-2"/>
        </w:rPr>
        <w:t> </w:t>
      </w:r>
      <w:r>
        <w:rPr>
          <w:color w:val="1F1F1F"/>
        </w:rPr>
        <w:t>(TCAP)</w:t>
      </w:r>
      <w:r>
        <w:rPr>
          <w:color w:val="1F1F1F"/>
          <w:spacing w:val="-2"/>
        </w:rPr>
        <w:t> </w:t>
      </w:r>
      <w:r>
        <w:rPr>
          <w:color w:val="1F1F1F"/>
        </w:rPr>
        <w:t>ELA</w:t>
      </w:r>
      <w:r>
        <w:rPr>
          <w:color w:val="1F1F1F"/>
          <w:spacing w:val="-2"/>
        </w:rPr>
        <w:t> </w:t>
      </w:r>
      <w:r>
        <w:rPr>
          <w:color w:val="1F1F1F"/>
        </w:rPr>
        <w:t>assessment. This quantitative, longitudinal study examined the extent to which kindergarten readiness, operationalized</w:t>
      </w:r>
      <w:r>
        <w:rPr>
          <w:color w:val="1F1F1F"/>
          <w:spacing w:val="-5"/>
        </w:rPr>
        <w:t> </w:t>
      </w:r>
      <w:r>
        <w:rPr>
          <w:color w:val="1F1F1F"/>
        </w:rPr>
        <w:t>as</w:t>
      </w:r>
      <w:r>
        <w:rPr>
          <w:color w:val="1F1F1F"/>
          <w:spacing w:val="-5"/>
        </w:rPr>
        <w:t> </w:t>
      </w:r>
      <w:r>
        <w:rPr>
          <w:color w:val="1F1F1F"/>
        </w:rPr>
        <w:t>kindergarten</w:t>
      </w:r>
      <w:r>
        <w:rPr>
          <w:color w:val="1F1F1F"/>
          <w:spacing w:val="-5"/>
        </w:rPr>
        <w:t> </w:t>
      </w:r>
      <w:r>
        <w:rPr>
          <w:color w:val="1F1F1F"/>
        </w:rPr>
        <w:t>AIMSweb</w:t>
      </w:r>
      <w:r>
        <w:rPr>
          <w:color w:val="1F1F1F"/>
          <w:spacing w:val="-5"/>
        </w:rPr>
        <w:t> </w:t>
      </w:r>
      <w:r>
        <w:rPr>
          <w:color w:val="1F1F1F"/>
        </w:rPr>
        <w:t>ELA</w:t>
      </w:r>
      <w:r>
        <w:rPr>
          <w:color w:val="1F1F1F"/>
          <w:spacing w:val="-5"/>
        </w:rPr>
        <w:t> </w:t>
      </w:r>
      <w:r>
        <w:rPr>
          <w:color w:val="1F1F1F"/>
        </w:rPr>
        <w:t>Composite</w:t>
      </w:r>
      <w:r>
        <w:rPr>
          <w:color w:val="1F1F1F"/>
          <w:spacing w:val="-5"/>
        </w:rPr>
        <w:t> </w:t>
      </w:r>
      <w:r>
        <w:rPr>
          <w:color w:val="1F1F1F"/>
        </w:rPr>
        <w:t>scores,</w:t>
      </w:r>
      <w:r>
        <w:rPr>
          <w:color w:val="1F1F1F"/>
          <w:spacing w:val="-5"/>
        </w:rPr>
        <w:t> </w:t>
      </w:r>
      <w:r>
        <w:rPr>
          <w:color w:val="1F1F1F"/>
        </w:rPr>
        <w:t>predicts</w:t>
      </w:r>
      <w:r>
        <w:rPr>
          <w:color w:val="1F1F1F"/>
          <w:spacing w:val="-5"/>
        </w:rPr>
        <w:t> </w:t>
      </w:r>
      <w:r>
        <w:rPr>
          <w:color w:val="1F1F1F"/>
        </w:rPr>
        <w:t>third-grade</w:t>
      </w:r>
      <w:r>
        <w:rPr>
          <w:color w:val="1F1F1F"/>
          <w:spacing w:val="-5"/>
        </w:rPr>
        <w:t> </w:t>
      </w:r>
      <w:r>
        <w:rPr>
          <w:color w:val="1F1F1F"/>
        </w:rPr>
        <w:t>reading proficiency status in one rural, high-poverty school district.</w:t>
      </w:r>
    </w:p>
    <w:p>
      <w:pPr>
        <w:pStyle w:val="BodyText"/>
      </w:pPr>
    </w:p>
    <w:p>
      <w:pPr>
        <w:pStyle w:val="BodyText"/>
        <w:spacing w:line="480" w:lineRule="auto" w:before="276"/>
        <w:ind w:right="13"/>
      </w:pPr>
      <w:r>
        <w:rPr>
          <w:color w:val="1F1F1F"/>
        </w:rPr>
        <w:t>Using archival student-level data, this study analyzed kindergarten AIMSweb ELA Composite scores and third-grade TCAP ELA proficiency. Logistic regression determined the predictive likelihood</w:t>
      </w:r>
      <w:r>
        <w:rPr>
          <w:color w:val="1F1F1F"/>
          <w:spacing w:val="-4"/>
        </w:rPr>
        <w:t> </w:t>
      </w:r>
      <w:r>
        <w:rPr>
          <w:color w:val="1F1F1F"/>
        </w:rPr>
        <w:t>of</w:t>
      </w:r>
      <w:r>
        <w:rPr>
          <w:color w:val="1F1F1F"/>
          <w:spacing w:val="-4"/>
        </w:rPr>
        <w:t> </w:t>
      </w:r>
      <w:r>
        <w:rPr>
          <w:color w:val="1F1F1F"/>
        </w:rPr>
        <w:t>proficiency</w:t>
      </w:r>
      <w:r>
        <w:rPr>
          <w:color w:val="1F1F1F"/>
          <w:spacing w:val="-4"/>
        </w:rPr>
        <w:t> </w:t>
      </w:r>
      <w:r>
        <w:rPr>
          <w:color w:val="1F1F1F"/>
        </w:rPr>
        <w:t>based</w:t>
      </w:r>
      <w:r>
        <w:rPr>
          <w:color w:val="1F1F1F"/>
          <w:spacing w:val="-4"/>
        </w:rPr>
        <w:t> </w:t>
      </w:r>
      <w:r>
        <w:rPr>
          <w:color w:val="1F1F1F"/>
        </w:rPr>
        <w:t>on</w:t>
      </w:r>
      <w:r>
        <w:rPr>
          <w:color w:val="1F1F1F"/>
          <w:spacing w:val="-4"/>
        </w:rPr>
        <w:t> </w:t>
      </w:r>
      <w:r>
        <w:rPr>
          <w:color w:val="1F1F1F"/>
        </w:rPr>
        <w:t>these</w:t>
      </w:r>
      <w:r>
        <w:rPr>
          <w:color w:val="1F1F1F"/>
          <w:spacing w:val="-4"/>
        </w:rPr>
        <w:t> </w:t>
      </w:r>
      <w:r>
        <w:rPr>
          <w:color w:val="1F1F1F"/>
        </w:rPr>
        <w:t>early</w:t>
      </w:r>
      <w:r>
        <w:rPr>
          <w:color w:val="1F1F1F"/>
          <w:spacing w:val="-4"/>
        </w:rPr>
        <w:t> </w:t>
      </w:r>
      <w:r>
        <w:rPr>
          <w:color w:val="1F1F1F"/>
        </w:rPr>
        <w:t>scores.</w:t>
      </w:r>
      <w:r>
        <w:rPr>
          <w:color w:val="1F1F1F"/>
          <w:spacing w:val="-4"/>
        </w:rPr>
        <w:t> </w:t>
      </w:r>
      <w:r>
        <w:rPr>
          <w:color w:val="1F1F1F"/>
        </w:rPr>
        <w:t>These</w:t>
      </w:r>
      <w:r>
        <w:rPr>
          <w:color w:val="1F1F1F"/>
          <w:spacing w:val="-4"/>
        </w:rPr>
        <w:t> </w:t>
      </w:r>
      <w:r>
        <w:rPr>
          <w:color w:val="1F1F1F"/>
        </w:rPr>
        <w:t>findings</w:t>
      </w:r>
      <w:r>
        <w:rPr>
          <w:color w:val="1F1F1F"/>
          <w:spacing w:val="-4"/>
        </w:rPr>
        <w:t> </w:t>
      </w:r>
      <w:r>
        <w:rPr>
          <w:color w:val="1F1F1F"/>
        </w:rPr>
        <w:t>help</w:t>
      </w:r>
      <w:r>
        <w:rPr>
          <w:color w:val="1F1F1F"/>
          <w:spacing w:val="-4"/>
        </w:rPr>
        <w:t> </w:t>
      </w:r>
      <w:r>
        <w:rPr>
          <w:color w:val="1F1F1F"/>
        </w:rPr>
        <w:t>stakeholders</w:t>
      </w:r>
      <w:r>
        <w:rPr>
          <w:color w:val="1F1F1F"/>
          <w:spacing w:val="-4"/>
        </w:rPr>
        <w:t> </w:t>
      </w:r>
      <w:r>
        <w:rPr>
          <w:color w:val="1F1F1F"/>
        </w:rPr>
        <w:t>determine if AIMSweb scores provide useful early indicators of reading outcomes, potentially informing intervention placement, resource allocation, and literacy decision-making in rural settings.</w:t>
      </w:r>
    </w:p>
    <w:p>
      <w:pPr>
        <w:pStyle w:val="BodyText"/>
        <w:spacing w:before="275"/>
      </w:pPr>
    </w:p>
    <w:p>
      <w:pPr>
        <w:pStyle w:val="BodyText"/>
        <w:spacing w:line="480" w:lineRule="auto" w:before="1"/>
        <w:ind w:right="592"/>
      </w:pPr>
      <w:r>
        <w:rPr/>
        <w:t>The results indicated that kindergarten AIMSweb ELA Composite scores were statistically significantly</w:t>
      </w:r>
      <w:r>
        <w:rPr>
          <w:spacing w:val="-2"/>
        </w:rPr>
        <w:t> </w:t>
      </w:r>
      <w:r>
        <w:rPr/>
        <w:t>associated</w:t>
      </w:r>
      <w:r>
        <w:rPr>
          <w:spacing w:val="-2"/>
        </w:rPr>
        <w:t> </w:t>
      </w:r>
      <w:r>
        <w:rPr/>
        <w:t>with</w:t>
      </w:r>
      <w:r>
        <w:rPr>
          <w:spacing w:val="-1"/>
        </w:rPr>
        <w:t> </w:t>
      </w:r>
      <w:r>
        <w:rPr/>
        <w:t>and</w:t>
      </w:r>
      <w:r>
        <w:rPr>
          <w:spacing w:val="-2"/>
        </w:rPr>
        <w:t> </w:t>
      </w:r>
      <w:r>
        <w:rPr/>
        <w:t>predictive</w:t>
      </w:r>
      <w:r>
        <w:rPr>
          <w:spacing w:val="-1"/>
        </w:rPr>
        <w:t> </w:t>
      </w:r>
      <w:r>
        <w:rPr/>
        <w:t>of</w:t>
      </w:r>
      <w:r>
        <w:rPr>
          <w:spacing w:val="-2"/>
        </w:rPr>
        <w:t> </w:t>
      </w:r>
      <w:r>
        <w:rPr/>
        <w:t>third-grade</w:t>
      </w:r>
      <w:r>
        <w:rPr>
          <w:spacing w:val="-2"/>
        </w:rPr>
        <w:t> </w:t>
      </w:r>
      <w:r>
        <w:rPr/>
        <w:t>TCAP</w:t>
      </w:r>
      <w:r>
        <w:rPr>
          <w:spacing w:val="-1"/>
        </w:rPr>
        <w:t> </w:t>
      </w:r>
      <w:r>
        <w:rPr/>
        <w:t>ELA</w:t>
      </w:r>
      <w:r>
        <w:rPr>
          <w:spacing w:val="-2"/>
        </w:rPr>
        <w:t> </w:t>
      </w:r>
      <w:r>
        <w:rPr/>
        <w:t>proficiency.</w:t>
      </w:r>
      <w:r>
        <w:rPr>
          <w:spacing w:val="-1"/>
        </w:rPr>
        <w:t> </w:t>
      </w:r>
      <w:r>
        <w:rPr>
          <w:spacing w:val="-2"/>
        </w:rPr>
        <w:t>Pearson</w:t>
      </w:r>
    </w:p>
    <w:p>
      <w:pPr>
        <w:pStyle w:val="BodyText"/>
        <w:spacing w:after="0" w:line="480" w:lineRule="auto"/>
        <w:sectPr>
          <w:type w:val="continuous"/>
          <w:pgSz w:w="12240" w:h="15840"/>
          <w:pgMar w:top="1820" w:bottom="280" w:left="1440" w:right="1440"/>
        </w:sectPr>
      </w:pPr>
    </w:p>
    <w:p>
      <w:pPr>
        <w:pStyle w:val="BodyText"/>
        <w:spacing w:line="480" w:lineRule="auto" w:before="60"/>
        <w:ind w:right="13"/>
      </w:pPr>
      <w:r>
        <w:rPr/>
        <w:t>correlation analysis showed a moderate positive relationship, r = .372, p &lt; .001. Binary logistic regression indicated that kindergarten AIMSweb ELA Composite scores significantly predicted third-grade proficiency, χ²(1) = 43.149, p &lt; .001, with each one-point increase in scores increasing the odds of proficiency by approximately 3.2%. The model explained 20.1% of the variation in proficiency status, based on Nagelkerke R² = .201, and correctly classified 77.3% of students overall. The model was stronger in identifying students who did not reach proficiency than students who did. Subgroup analyses showed that gender differences in AIMSweb scores were not statistically significant and that the AIMSweb-to-TCAP relationship was nearly identical for female and male students. Pre-Kindergarten participation did not add statistically significant predictive value beyond AIMSweb scores. English Learner findings were limited by the</w:t>
      </w:r>
      <w:r>
        <w:rPr>
          <w:spacing w:val="-2"/>
        </w:rPr>
        <w:t> </w:t>
      </w:r>
      <w:r>
        <w:rPr/>
        <w:t>very</w:t>
      </w:r>
      <w:r>
        <w:rPr>
          <w:spacing w:val="-2"/>
        </w:rPr>
        <w:t> </w:t>
      </w:r>
      <w:r>
        <w:rPr/>
        <w:t>small</w:t>
      </w:r>
      <w:r>
        <w:rPr>
          <w:spacing w:val="-2"/>
        </w:rPr>
        <w:t> </w:t>
      </w:r>
      <w:r>
        <w:rPr/>
        <w:t>subgroup</w:t>
      </w:r>
      <w:r>
        <w:rPr>
          <w:spacing w:val="-2"/>
        </w:rPr>
        <w:t> </w:t>
      </w:r>
      <w:r>
        <w:rPr/>
        <w:t>size,</w:t>
      </w:r>
      <w:r>
        <w:rPr>
          <w:spacing w:val="-2"/>
        </w:rPr>
        <w:t> </w:t>
      </w:r>
      <w:r>
        <w:rPr/>
        <w:t>and</w:t>
      </w:r>
      <w:r>
        <w:rPr>
          <w:spacing w:val="-2"/>
        </w:rPr>
        <w:t> </w:t>
      </w:r>
      <w:r>
        <w:rPr/>
        <w:t>the</w:t>
      </w:r>
      <w:r>
        <w:rPr>
          <w:spacing w:val="-2"/>
        </w:rPr>
        <w:t> </w:t>
      </w:r>
      <w:r>
        <w:rPr/>
        <w:t>subgroup</w:t>
      </w:r>
      <w:r>
        <w:rPr>
          <w:spacing w:val="-2"/>
        </w:rPr>
        <w:t> </w:t>
      </w:r>
      <w:r>
        <w:rPr/>
        <w:t>correlation</w:t>
      </w:r>
      <w:r>
        <w:rPr>
          <w:spacing w:val="-2"/>
        </w:rPr>
        <w:t> </w:t>
      </w:r>
      <w:r>
        <w:rPr/>
        <w:t>could</w:t>
      </w:r>
      <w:r>
        <w:rPr>
          <w:spacing w:val="-2"/>
        </w:rPr>
        <w:t> </w:t>
      </w:r>
      <w:r>
        <w:rPr/>
        <w:t>not</w:t>
      </w:r>
      <w:r>
        <w:rPr>
          <w:spacing w:val="-2"/>
        </w:rPr>
        <w:t> </w:t>
      </w:r>
      <w:r>
        <w:rPr/>
        <w:t>be</w:t>
      </w:r>
      <w:r>
        <w:rPr>
          <w:spacing w:val="-2"/>
        </w:rPr>
        <w:t> </w:t>
      </w:r>
      <w:r>
        <w:rPr/>
        <w:t>computed.</w:t>
      </w:r>
      <w:r>
        <w:rPr>
          <w:spacing w:val="-2"/>
        </w:rPr>
        <w:t> </w:t>
      </w:r>
      <w:r>
        <w:rPr/>
        <w:t>Economically disadvantaged status and special education status were associated with statistically significant differences in kindergarten AIMSweb scores; however, the economically disadvantaged subgroup</w:t>
      </w:r>
      <w:r>
        <w:rPr>
          <w:spacing w:val="-4"/>
        </w:rPr>
        <w:t> </w:t>
      </w:r>
      <w:r>
        <w:rPr/>
        <w:t>correlation</w:t>
      </w:r>
      <w:r>
        <w:rPr>
          <w:spacing w:val="-4"/>
        </w:rPr>
        <w:t> </w:t>
      </w:r>
      <w:r>
        <w:rPr/>
        <w:t>was</w:t>
      </w:r>
      <w:r>
        <w:rPr>
          <w:spacing w:val="-4"/>
        </w:rPr>
        <w:t> </w:t>
      </w:r>
      <w:r>
        <w:rPr/>
        <w:t>positive</w:t>
      </w:r>
      <w:r>
        <w:rPr>
          <w:spacing w:val="-4"/>
        </w:rPr>
        <w:t> </w:t>
      </w:r>
      <w:r>
        <w:rPr/>
        <w:t>but</w:t>
      </w:r>
      <w:r>
        <w:rPr>
          <w:spacing w:val="-4"/>
        </w:rPr>
        <w:t> </w:t>
      </w:r>
      <w:r>
        <w:rPr/>
        <w:t>not</w:t>
      </w:r>
      <w:r>
        <w:rPr>
          <w:spacing w:val="-4"/>
        </w:rPr>
        <w:t> </w:t>
      </w:r>
      <w:r>
        <w:rPr/>
        <w:t>statistically</w:t>
      </w:r>
      <w:r>
        <w:rPr>
          <w:spacing w:val="-4"/>
        </w:rPr>
        <w:t> </w:t>
      </w:r>
      <w:r>
        <w:rPr/>
        <w:t>significant,</w:t>
      </w:r>
      <w:r>
        <w:rPr>
          <w:spacing w:val="-4"/>
        </w:rPr>
        <w:t> </w:t>
      </w:r>
      <w:r>
        <w:rPr/>
        <w:t>and</w:t>
      </w:r>
      <w:r>
        <w:rPr>
          <w:spacing w:val="-4"/>
        </w:rPr>
        <w:t> </w:t>
      </w:r>
      <w:r>
        <w:rPr/>
        <w:t>AIMSweb</w:t>
      </w:r>
      <w:r>
        <w:rPr>
          <w:spacing w:val="-4"/>
        </w:rPr>
        <w:t> </w:t>
      </w:r>
      <w:r>
        <w:rPr/>
        <w:t>scores</w:t>
      </w:r>
      <w:r>
        <w:rPr>
          <w:spacing w:val="-4"/>
        </w:rPr>
        <w:t> </w:t>
      </w:r>
      <w:r>
        <w:rPr/>
        <w:t>remained significantly related to TCAP proficiency for students with and without special education </w:t>
      </w:r>
      <w:r>
        <w:rPr>
          <w:spacing w:val="-2"/>
        </w:rPr>
        <w:t>services.</w:t>
      </w:r>
    </w:p>
    <w:sectPr>
      <w:pgSz w:w="12240" w:h="15840"/>
      <w:pgMar w:top="138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Abstract 20260629 Gentry</dc:title>
  <dcterms:created xsi:type="dcterms:W3CDTF">2026-07-27T17:41:45Z</dcterms:created>
  <dcterms:modified xsi:type="dcterms:W3CDTF">2026-07-27T17:41:45Z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2026-07-27T00:00:00Z</vt:filetime>
  </property>
  <property fmtid="{D5CDD505-2E9C-101B-9397-08002B2CF9AE}" pid="3" name="Producer">
    <vt:lpwstr>Skia/PDF m151 Google Docs Renderer</vt:lpwstr>
  </property>
  <property fmtid="{D5CDD505-2E9C-101B-9397-08002B2CF9AE}" pid="4" name="LastSaved">
    <vt:filetime>2026-07-27T00:00:00Z</vt:filetime>
  </property>
</Properties>
</file>